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9C" w:rsidRPr="00071708" w:rsidRDefault="007D53F4" w:rsidP="00CF7E3D">
      <w:pPr>
        <w:jc w:val="both"/>
        <w:rPr>
          <w:b/>
          <w:sz w:val="24"/>
          <w:szCs w:val="24"/>
        </w:rPr>
      </w:pPr>
      <w:r w:rsidRPr="00071708">
        <w:rPr>
          <w:b/>
          <w:sz w:val="24"/>
          <w:szCs w:val="24"/>
        </w:rPr>
        <w:t>Purpose</w:t>
      </w:r>
    </w:p>
    <w:p w:rsidR="007A3F1E" w:rsidRPr="00071708" w:rsidRDefault="00EC01E8" w:rsidP="007A3F1E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Casterton Memorial Hospital</w:t>
      </w:r>
      <w:r w:rsidR="007D53F4" w:rsidRPr="00071708">
        <w:rPr>
          <w:rFonts w:eastAsia="Times New Roman"/>
          <w:sz w:val="24"/>
          <w:szCs w:val="24"/>
        </w:rPr>
        <w:t xml:space="preserve">, under s134 of the Health Service </w:t>
      </w:r>
      <w:r w:rsidR="00395DF7" w:rsidRPr="00071708">
        <w:rPr>
          <w:rFonts w:eastAsia="Times New Roman"/>
          <w:sz w:val="24"/>
          <w:szCs w:val="24"/>
        </w:rPr>
        <w:t>A</w:t>
      </w:r>
      <w:r w:rsidR="007D53F4" w:rsidRPr="00071708">
        <w:rPr>
          <w:rFonts w:eastAsia="Times New Roman"/>
          <w:sz w:val="24"/>
          <w:szCs w:val="24"/>
        </w:rPr>
        <w:t>ct 199</w:t>
      </w:r>
      <w:r w:rsidR="001F522A" w:rsidRPr="00071708">
        <w:rPr>
          <w:rFonts w:eastAsia="Times New Roman"/>
          <w:sz w:val="24"/>
          <w:szCs w:val="24"/>
        </w:rPr>
        <w:t>8</w:t>
      </w:r>
      <w:r w:rsidR="007D53F4" w:rsidRPr="00071708">
        <w:rPr>
          <w:rFonts w:eastAsia="Times New Roman"/>
          <w:sz w:val="24"/>
          <w:szCs w:val="24"/>
        </w:rPr>
        <w:t xml:space="preserve"> (the Act) </w:t>
      </w:r>
      <w:r w:rsidR="00834085" w:rsidRPr="00071708">
        <w:rPr>
          <w:rFonts w:eastAsia="Times New Roman"/>
          <w:sz w:val="24"/>
          <w:szCs w:val="24"/>
        </w:rPr>
        <w:t>is</w:t>
      </w:r>
      <w:r w:rsidR="007D53F4" w:rsidRPr="00071708">
        <w:rPr>
          <w:rFonts w:eastAsia="Times New Roman"/>
          <w:sz w:val="24"/>
          <w:szCs w:val="24"/>
        </w:rPr>
        <w:t xml:space="preserve"> bound to comply with Health Pur</w:t>
      </w:r>
      <w:r w:rsidR="00071708">
        <w:rPr>
          <w:rFonts w:eastAsia="Times New Roman"/>
          <w:sz w:val="24"/>
          <w:szCs w:val="24"/>
        </w:rPr>
        <w:t xml:space="preserve">chasing Policies made by </w:t>
      </w:r>
      <w:r w:rsidR="00802F01">
        <w:rPr>
          <w:rFonts w:eastAsia="Times New Roman"/>
          <w:sz w:val="24"/>
          <w:szCs w:val="24"/>
        </w:rPr>
        <w:t>HealthShare Victoria (HS</w:t>
      </w:r>
      <w:r w:rsidR="007D53F4" w:rsidRPr="00071708">
        <w:rPr>
          <w:rFonts w:eastAsia="Times New Roman"/>
          <w:sz w:val="24"/>
          <w:szCs w:val="24"/>
        </w:rPr>
        <w:t>V). These Health Purchas</w:t>
      </w:r>
      <w:r w:rsidR="00802F01">
        <w:rPr>
          <w:rFonts w:eastAsia="Times New Roman"/>
          <w:sz w:val="24"/>
          <w:szCs w:val="24"/>
        </w:rPr>
        <w:t>ing Policies are made by the HSV</w:t>
      </w:r>
      <w:r w:rsidR="007D53F4" w:rsidRPr="00071708">
        <w:rPr>
          <w:rFonts w:eastAsia="Times New Roman"/>
          <w:sz w:val="24"/>
          <w:szCs w:val="24"/>
        </w:rPr>
        <w:t xml:space="preserve"> Board in accordance with s134 of the Health Act 1</w:t>
      </w:r>
      <w:r w:rsidR="00395DF7" w:rsidRPr="00071708">
        <w:rPr>
          <w:rFonts w:eastAsia="Times New Roman"/>
          <w:sz w:val="24"/>
          <w:szCs w:val="24"/>
        </w:rPr>
        <w:t>98</w:t>
      </w:r>
      <w:r w:rsidR="007D53F4" w:rsidRPr="00071708">
        <w:rPr>
          <w:rFonts w:eastAsia="Times New Roman"/>
          <w:sz w:val="24"/>
          <w:szCs w:val="24"/>
        </w:rPr>
        <w:t xml:space="preserve">8 (the Act). </w:t>
      </w:r>
    </w:p>
    <w:p w:rsidR="002D1EAD" w:rsidRPr="00071708" w:rsidRDefault="007D53F4" w:rsidP="001F522A">
      <w:pPr>
        <w:rPr>
          <w:sz w:val="24"/>
          <w:szCs w:val="24"/>
        </w:rPr>
      </w:pPr>
      <w:r w:rsidRPr="00071708">
        <w:rPr>
          <w:b/>
          <w:sz w:val="24"/>
          <w:szCs w:val="24"/>
        </w:rPr>
        <w:br/>
      </w:r>
      <w:r w:rsidRPr="00071708">
        <w:rPr>
          <w:sz w:val="24"/>
          <w:szCs w:val="24"/>
        </w:rPr>
        <w:t>All Schedule 1 and 5 public hospitals and health services as listed under the Act must comply with these policies which are legally binding, effective from</w:t>
      </w:r>
      <w:r w:rsidR="003F1FF9" w:rsidRPr="00071708">
        <w:rPr>
          <w:sz w:val="24"/>
          <w:szCs w:val="24"/>
        </w:rPr>
        <w:t xml:space="preserve"> 24</w:t>
      </w:r>
      <w:r w:rsidR="003F1FF9" w:rsidRPr="00071708">
        <w:rPr>
          <w:sz w:val="24"/>
          <w:szCs w:val="24"/>
          <w:vertAlign w:val="superscript"/>
        </w:rPr>
        <w:t>th</w:t>
      </w:r>
      <w:r w:rsidR="003F1FF9" w:rsidRPr="00071708">
        <w:rPr>
          <w:sz w:val="24"/>
          <w:szCs w:val="24"/>
        </w:rPr>
        <w:t xml:space="preserve"> June 2016.</w:t>
      </w:r>
      <w:r w:rsidR="003F1FF9" w:rsidRPr="00071708" w:rsidDel="003F1FF9">
        <w:rPr>
          <w:sz w:val="24"/>
          <w:szCs w:val="24"/>
        </w:rPr>
        <w:t xml:space="preserve"> </w:t>
      </w:r>
      <w:r w:rsidRPr="00071708">
        <w:rPr>
          <w:sz w:val="24"/>
          <w:szCs w:val="24"/>
        </w:rPr>
        <w:br/>
      </w:r>
      <w:r w:rsidRPr="00071708">
        <w:rPr>
          <w:sz w:val="24"/>
          <w:szCs w:val="24"/>
        </w:rPr>
        <w:br/>
        <w:t>The Health Purchasing Policy framework is based upon the Victorian Government Purchasin</w:t>
      </w:r>
      <w:r w:rsidR="00071708">
        <w:rPr>
          <w:sz w:val="24"/>
          <w:szCs w:val="24"/>
        </w:rPr>
        <w:t xml:space="preserve">g Board (VGPB) supply policies, </w:t>
      </w:r>
      <w:r w:rsidRPr="00071708">
        <w:rPr>
          <w:sz w:val="24"/>
          <w:szCs w:val="24"/>
        </w:rPr>
        <w:t xml:space="preserve">and </w:t>
      </w:r>
      <w:r w:rsidRPr="00071708">
        <w:rPr>
          <w:b/>
          <w:sz w:val="24"/>
          <w:szCs w:val="24"/>
          <w:u w:val="single"/>
        </w:rPr>
        <w:t xml:space="preserve">must be </w:t>
      </w:r>
      <w:r w:rsidRPr="00071708">
        <w:rPr>
          <w:sz w:val="24"/>
          <w:szCs w:val="24"/>
        </w:rPr>
        <w:t>complied with in conjunction with any relevant provisions of the current Victorian health policy and funding guidelines</w:t>
      </w:r>
      <w:r w:rsidR="003F1FF9" w:rsidRPr="00071708">
        <w:rPr>
          <w:sz w:val="24"/>
          <w:szCs w:val="24"/>
        </w:rPr>
        <w:t>. The five policies are as follows;</w:t>
      </w:r>
    </w:p>
    <w:p w:rsidR="003F1FF9" w:rsidRPr="00071708" w:rsidRDefault="003F1FF9" w:rsidP="00A40926">
      <w:pPr>
        <w:numPr>
          <w:ilvl w:val="0"/>
          <w:numId w:val="26"/>
        </w:numPr>
        <w:rPr>
          <w:sz w:val="24"/>
          <w:szCs w:val="24"/>
        </w:rPr>
      </w:pPr>
      <w:r w:rsidRPr="00071708">
        <w:rPr>
          <w:sz w:val="24"/>
          <w:szCs w:val="24"/>
        </w:rPr>
        <w:t>Procurement Governance</w:t>
      </w:r>
    </w:p>
    <w:p w:rsidR="003F1FF9" w:rsidRPr="00071708" w:rsidRDefault="003F1FF9" w:rsidP="00A40926">
      <w:pPr>
        <w:numPr>
          <w:ilvl w:val="0"/>
          <w:numId w:val="26"/>
        </w:numPr>
        <w:rPr>
          <w:sz w:val="24"/>
          <w:szCs w:val="24"/>
        </w:rPr>
      </w:pPr>
      <w:r w:rsidRPr="00071708">
        <w:rPr>
          <w:sz w:val="24"/>
          <w:szCs w:val="24"/>
        </w:rPr>
        <w:t xml:space="preserve">Procurement Strategic Analysis </w:t>
      </w:r>
    </w:p>
    <w:p w:rsidR="003F1FF9" w:rsidRPr="00071708" w:rsidRDefault="003F1FF9" w:rsidP="00A40926">
      <w:pPr>
        <w:numPr>
          <w:ilvl w:val="0"/>
          <w:numId w:val="26"/>
        </w:numPr>
        <w:rPr>
          <w:sz w:val="24"/>
          <w:szCs w:val="24"/>
        </w:rPr>
      </w:pPr>
      <w:r w:rsidRPr="00071708">
        <w:rPr>
          <w:sz w:val="24"/>
          <w:szCs w:val="24"/>
        </w:rPr>
        <w:t>Market Approach</w:t>
      </w:r>
    </w:p>
    <w:p w:rsidR="003F1FF9" w:rsidRPr="00071708" w:rsidRDefault="003F1FF9" w:rsidP="00A40926">
      <w:pPr>
        <w:numPr>
          <w:ilvl w:val="0"/>
          <w:numId w:val="26"/>
        </w:numPr>
        <w:rPr>
          <w:sz w:val="24"/>
          <w:szCs w:val="24"/>
        </w:rPr>
      </w:pPr>
      <w:r w:rsidRPr="00071708">
        <w:rPr>
          <w:sz w:val="24"/>
          <w:szCs w:val="24"/>
        </w:rPr>
        <w:t>Contract Management and Asset Disposal</w:t>
      </w:r>
    </w:p>
    <w:p w:rsidR="003F1FF9" w:rsidRPr="00071708" w:rsidRDefault="003F1FF9" w:rsidP="00A40926">
      <w:pPr>
        <w:numPr>
          <w:ilvl w:val="0"/>
          <w:numId w:val="26"/>
        </w:numPr>
        <w:rPr>
          <w:sz w:val="24"/>
          <w:szCs w:val="24"/>
        </w:rPr>
      </w:pPr>
      <w:r w:rsidRPr="00071708">
        <w:rPr>
          <w:sz w:val="24"/>
          <w:szCs w:val="24"/>
        </w:rPr>
        <w:t>Collective Purchasing</w:t>
      </w:r>
    </w:p>
    <w:p w:rsidR="002D1EAD" w:rsidRPr="00071708" w:rsidRDefault="002D1EAD" w:rsidP="001F522A">
      <w:pPr>
        <w:rPr>
          <w:sz w:val="24"/>
          <w:szCs w:val="24"/>
        </w:rPr>
      </w:pPr>
    </w:p>
    <w:p w:rsidR="002D1EAD" w:rsidRPr="00071708" w:rsidRDefault="002D1EAD" w:rsidP="001F522A">
      <w:pPr>
        <w:rPr>
          <w:rFonts w:eastAsia="Times New Roman"/>
          <w:sz w:val="24"/>
          <w:szCs w:val="24"/>
        </w:rPr>
      </w:pPr>
      <w:r w:rsidRPr="00071708">
        <w:rPr>
          <w:sz w:val="24"/>
          <w:szCs w:val="24"/>
        </w:rPr>
        <w:t xml:space="preserve">The purpose of this policy is to </w:t>
      </w:r>
      <w:r w:rsidR="00802F01">
        <w:rPr>
          <w:sz w:val="24"/>
          <w:szCs w:val="24"/>
        </w:rPr>
        <w:t>ensure compliance with HS</w:t>
      </w:r>
      <w:r w:rsidR="005F2A9F" w:rsidRPr="00071708">
        <w:rPr>
          <w:sz w:val="24"/>
          <w:szCs w:val="24"/>
        </w:rPr>
        <w:t xml:space="preserve">V directions and purchasing Policies. Compliance will ensure that </w:t>
      </w:r>
      <w:r w:rsidRPr="00071708">
        <w:rPr>
          <w:sz w:val="24"/>
          <w:szCs w:val="24"/>
        </w:rPr>
        <w:t xml:space="preserve">appropriate approval; procurement planning and evaluation processes are implemented throughout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Pr="00071708">
        <w:rPr>
          <w:rFonts w:eastAsia="Times New Roman"/>
          <w:sz w:val="24"/>
          <w:szCs w:val="24"/>
        </w:rPr>
        <w:t xml:space="preserve"> to achieve:</w:t>
      </w:r>
    </w:p>
    <w:p w:rsidR="002D1EAD" w:rsidRPr="00071708" w:rsidRDefault="00EE7DA5" w:rsidP="009931AA">
      <w:pPr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V</w:t>
      </w:r>
      <w:r w:rsidR="002D1EAD" w:rsidRPr="00071708">
        <w:rPr>
          <w:rFonts w:eastAsia="Times New Roman"/>
          <w:sz w:val="24"/>
          <w:szCs w:val="24"/>
        </w:rPr>
        <w:t>alue for money in procurement;</w:t>
      </w:r>
    </w:p>
    <w:p w:rsidR="002D1EAD" w:rsidRPr="00071708" w:rsidRDefault="00EE7DA5" w:rsidP="009931AA">
      <w:pPr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A</w:t>
      </w:r>
      <w:r w:rsidR="002D1EAD" w:rsidRPr="00071708">
        <w:rPr>
          <w:rFonts w:eastAsia="Times New Roman"/>
          <w:sz w:val="24"/>
          <w:szCs w:val="24"/>
        </w:rPr>
        <w:t>ppropriate levels of control and probity; and</w:t>
      </w:r>
    </w:p>
    <w:p w:rsidR="002D1EAD" w:rsidRPr="00071708" w:rsidRDefault="00EE7DA5" w:rsidP="009931AA">
      <w:pPr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T</w:t>
      </w:r>
      <w:r w:rsidR="002D1EAD" w:rsidRPr="00071708">
        <w:rPr>
          <w:rFonts w:eastAsia="Times New Roman"/>
          <w:sz w:val="24"/>
          <w:szCs w:val="24"/>
        </w:rPr>
        <w:t>o ac</w:t>
      </w:r>
      <w:r w:rsidR="00802F01">
        <w:rPr>
          <w:rFonts w:eastAsia="Times New Roman"/>
          <w:sz w:val="24"/>
          <w:szCs w:val="24"/>
        </w:rPr>
        <w:t>hieve compliance to legal and HS</w:t>
      </w:r>
      <w:r w:rsidR="002D1EAD" w:rsidRPr="00071708">
        <w:rPr>
          <w:rFonts w:eastAsia="Times New Roman"/>
          <w:sz w:val="24"/>
          <w:szCs w:val="24"/>
        </w:rPr>
        <w:t>V obligations.</w:t>
      </w:r>
      <w:r w:rsidR="002D1EAD" w:rsidRPr="00071708">
        <w:rPr>
          <w:rFonts w:eastAsia="Times New Roman"/>
          <w:sz w:val="24"/>
          <w:szCs w:val="24"/>
        </w:rPr>
        <w:br/>
      </w:r>
    </w:p>
    <w:p w:rsidR="003F1FF9" w:rsidRPr="00071708" w:rsidRDefault="002D1EAD" w:rsidP="002D1EAD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This policy covers all activities related to the acquisition of all goods and services regardless of their value.</w:t>
      </w:r>
      <w:r w:rsidRPr="00071708">
        <w:rPr>
          <w:rFonts w:eastAsia="Times New Roman"/>
          <w:sz w:val="24"/>
          <w:szCs w:val="24"/>
        </w:rPr>
        <w:br/>
      </w:r>
      <w:r w:rsidRPr="00071708">
        <w:rPr>
          <w:sz w:val="24"/>
          <w:szCs w:val="24"/>
        </w:rPr>
        <w:t xml:space="preserve"> </w:t>
      </w:r>
      <w:r w:rsidR="001F522A" w:rsidRPr="00071708">
        <w:rPr>
          <w:sz w:val="24"/>
          <w:szCs w:val="24"/>
        </w:rPr>
        <w:br/>
      </w:r>
      <w:r w:rsidR="001F522A" w:rsidRPr="00071708">
        <w:rPr>
          <w:b/>
          <w:sz w:val="24"/>
          <w:szCs w:val="24"/>
        </w:rPr>
        <w:t xml:space="preserve">Target Audience </w:t>
      </w:r>
      <w:r w:rsidR="001F522A" w:rsidRPr="00071708">
        <w:rPr>
          <w:b/>
          <w:sz w:val="24"/>
          <w:szCs w:val="24"/>
        </w:rPr>
        <w:br/>
      </w:r>
      <w:r w:rsidRPr="00071708">
        <w:rPr>
          <w:rFonts w:eastAsia="Times New Roman"/>
          <w:sz w:val="24"/>
          <w:szCs w:val="24"/>
        </w:rPr>
        <w:t xml:space="preserve">This policy and its associated procedures are mandatory for all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="001F522A" w:rsidRPr="00071708">
        <w:rPr>
          <w:rFonts w:eastAsia="Times New Roman"/>
          <w:sz w:val="24"/>
          <w:szCs w:val="24"/>
        </w:rPr>
        <w:t xml:space="preserve"> </w:t>
      </w:r>
      <w:r w:rsidRPr="00071708">
        <w:rPr>
          <w:rFonts w:eastAsia="Times New Roman"/>
          <w:sz w:val="24"/>
          <w:szCs w:val="24"/>
        </w:rPr>
        <w:t>departments and employees</w:t>
      </w:r>
      <w:r w:rsidR="001F522A" w:rsidRPr="00071708">
        <w:rPr>
          <w:rFonts w:eastAsia="Times New Roman"/>
          <w:sz w:val="24"/>
          <w:szCs w:val="24"/>
        </w:rPr>
        <w:t>.</w:t>
      </w:r>
      <w:r w:rsidR="001F522A" w:rsidRPr="00071708">
        <w:rPr>
          <w:rFonts w:eastAsia="Times New Roman"/>
          <w:sz w:val="24"/>
          <w:szCs w:val="24"/>
        </w:rPr>
        <w:br/>
      </w:r>
    </w:p>
    <w:p w:rsidR="00B911CB" w:rsidRPr="00071708" w:rsidRDefault="00B911CB" w:rsidP="002D1EAD">
      <w:pPr>
        <w:rPr>
          <w:rFonts w:eastAsia="Times New Roman"/>
          <w:b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>Definition</w:t>
      </w:r>
      <w:r w:rsidR="005F2A9F" w:rsidRPr="00071708">
        <w:rPr>
          <w:rFonts w:eastAsia="Times New Roman"/>
          <w:b/>
          <w:sz w:val="24"/>
          <w:szCs w:val="24"/>
        </w:rPr>
        <w:t>s</w:t>
      </w:r>
    </w:p>
    <w:p w:rsidR="00B911CB" w:rsidRPr="00071708" w:rsidRDefault="005F2A9F" w:rsidP="002D1EAD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 xml:space="preserve">Governance </w:t>
      </w:r>
      <w:r w:rsidRPr="00071708">
        <w:rPr>
          <w:rFonts w:eastAsia="Times New Roman"/>
          <w:sz w:val="24"/>
          <w:szCs w:val="24"/>
        </w:rPr>
        <w:t xml:space="preserve">- </w:t>
      </w:r>
      <w:r w:rsidR="00B911CB" w:rsidRPr="00071708">
        <w:rPr>
          <w:rFonts w:eastAsia="Times New Roman"/>
          <w:sz w:val="24"/>
          <w:szCs w:val="24"/>
        </w:rPr>
        <w:t xml:space="preserve">Governance can be defined as the processes by which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="00B911CB" w:rsidRPr="00071708">
        <w:rPr>
          <w:rFonts w:eastAsia="Times New Roman"/>
          <w:sz w:val="24"/>
          <w:szCs w:val="24"/>
        </w:rPr>
        <w:t xml:space="preserve"> holds </w:t>
      </w:r>
      <w:r w:rsidR="003B1F39" w:rsidRPr="00071708">
        <w:rPr>
          <w:rFonts w:eastAsia="Times New Roman"/>
          <w:sz w:val="24"/>
          <w:szCs w:val="24"/>
        </w:rPr>
        <w:t>itself</w:t>
      </w:r>
      <w:r w:rsidR="00B911CB" w:rsidRPr="00071708">
        <w:rPr>
          <w:rFonts w:eastAsia="Times New Roman"/>
          <w:sz w:val="24"/>
          <w:szCs w:val="24"/>
        </w:rPr>
        <w:t xml:space="preserve"> to account for defensible and justifiable procurement decisions and processes. Governance embodies demonstration of leadership, accountability and responsibility.</w:t>
      </w:r>
    </w:p>
    <w:p w:rsidR="00B911CB" w:rsidRPr="00071708" w:rsidRDefault="00B911CB" w:rsidP="002D1EAD">
      <w:pPr>
        <w:rPr>
          <w:rFonts w:eastAsia="Times New Roman"/>
          <w:sz w:val="24"/>
          <w:szCs w:val="24"/>
        </w:rPr>
      </w:pPr>
    </w:p>
    <w:p w:rsidR="008A7F63" w:rsidRPr="00071708" w:rsidRDefault="008A7F63" w:rsidP="002D1EAD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 xml:space="preserve">Compliance </w:t>
      </w:r>
      <w:r w:rsidRPr="00071708">
        <w:rPr>
          <w:rFonts w:eastAsia="Times New Roman"/>
          <w:sz w:val="24"/>
          <w:szCs w:val="24"/>
        </w:rPr>
        <w:t>–</w:t>
      </w:r>
      <w:r w:rsidRPr="00071708">
        <w:rPr>
          <w:rFonts w:eastAsia="Times New Roman"/>
          <w:b/>
          <w:sz w:val="24"/>
          <w:szCs w:val="24"/>
        </w:rPr>
        <w:t xml:space="preserve"> </w:t>
      </w:r>
      <w:r w:rsidRPr="00071708">
        <w:rPr>
          <w:rFonts w:eastAsia="Times New Roman"/>
          <w:sz w:val="24"/>
          <w:szCs w:val="24"/>
        </w:rPr>
        <w:t>Is to be compliant with a legal agreement or established standards, goods, services and/or processes are required to adhere to the specified requirements.</w:t>
      </w:r>
    </w:p>
    <w:p w:rsidR="008A7F63" w:rsidRPr="00071708" w:rsidRDefault="008A7F63" w:rsidP="002D1EAD">
      <w:pPr>
        <w:rPr>
          <w:rFonts w:eastAsia="Times New Roman"/>
          <w:b/>
          <w:sz w:val="24"/>
          <w:szCs w:val="24"/>
        </w:rPr>
      </w:pPr>
    </w:p>
    <w:p w:rsidR="008A7F63" w:rsidRPr="00071708" w:rsidRDefault="008A7F63" w:rsidP="008A7F63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lastRenderedPageBreak/>
        <w:t xml:space="preserve">Procurement Strategic Analysis </w:t>
      </w:r>
      <w:r w:rsidRPr="00071708">
        <w:rPr>
          <w:rFonts w:eastAsia="Times New Roman"/>
          <w:sz w:val="24"/>
          <w:szCs w:val="24"/>
        </w:rPr>
        <w:t>– A procurement strategy describes the contribution that effective procurement will make to fulfil an organisations/health services aims and objectives. The definition of procurement in this context is not limited to purchasing – it can have a wider meaning and can address the ways in which the organisation/health service can deliver its services – from providing the service in-house to joint commissioning and outsourcing.</w:t>
      </w:r>
    </w:p>
    <w:p w:rsidR="008A7F63" w:rsidRPr="00071708" w:rsidRDefault="008A7F63" w:rsidP="002D1EAD">
      <w:pPr>
        <w:rPr>
          <w:rFonts w:eastAsia="Times New Roman"/>
          <w:sz w:val="24"/>
          <w:szCs w:val="24"/>
        </w:rPr>
      </w:pPr>
    </w:p>
    <w:p w:rsidR="008A7F63" w:rsidRPr="00071708" w:rsidRDefault="008A7F63" w:rsidP="002D1EAD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>Collective Purchasing</w:t>
      </w:r>
      <w:r w:rsidRPr="00071708">
        <w:rPr>
          <w:rFonts w:eastAsia="Times New Roman"/>
          <w:sz w:val="24"/>
          <w:szCs w:val="24"/>
        </w:rPr>
        <w:t xml:space="preserve"> – Is a collectiv</w:t>
      </w:r>
      <w:r w:rsidR="00802F01">
        <w:rPr>
          <w:rFonts w:eastAsia="Times New Roman"/>
          <w:sz w:val="24"/>
          <w:szCs w:val="24"/>
        </w:rPr>
        <w:t>e purchasing agreement set by HS</w:t>
      </w:r>
      <w:r w:rsidRPr="00071708">
        <w:rPr>
          <w:rFonts w:eastAsia="Times New Roman"/>
          <w:sz w:val="24"/>
          <w:szCs w:val="24"/>
        </w:rPr>
        <w:t>V</w:t>
      </w:r>
      <w:r w:rsidR="006B7A14" w:rsidRPr="00071708">
        <w:rPr>
          <w:rFonts w:eastAsia="Times New Roman"/>
          <w:sz w:val="24"/>
          <w:szCs w:val="24"/>
        </w:rPr>
        <w:t xml:space="preserve"> as </w:t>
      </w:r>
      <w:r w:rsidRPr="00071708">
        <w:rPr>
          <w:rFonts w:eastAsia="Times New Roman"/>
          <w:sz w:val="24"/>
          <w:szCs w:val="24"/>
        </w:rPr>
        <w:t>mechanism to leverage demand and drive a better value for money outcome.</w:t>
      </w:r>
      <w:r w:rsidR="00132F8A" w:rsidRPr="00071708">
        <w:rPr>
          <w:rFonts w:eastAsia="Times New Roman"/>
          <w:sz w:val="24"/>
          <w:szCs w:val="24"/>
        </w:rPr>
        <w:t xml:space="preserve"> </w:t>
      </w:r>
    </w:p>
    <w:p w:rsidR="003F1FF9" w:rsidRPr="00071708" w:rsidRDefault="003F1FF9" w:rsidP="002D1EAD">
      <w:pPr>
        <w:rPr>
          <w:rFonts w:eastAsia="Times New Roman"/>
          <w:sz w:val="24"/>
          <w:szCs w:val="24"/>
        </w:rPr>
      </w:pPr>
    </w:p>
    <w:p w:rsidR="001F522A" w:rsidRPr="00071708" w:rsidRDefault="001F522A" w:rsidP="002D1EAD">
      <w:pPr>
        <w:rPr>
          <w:rFonts w:eastAsia="Times New Roman"/>
          <w:b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>Polic</w:t>
      </w:r>
      <w:r w:rsidR="00B911CB" w:rsidRPr="00071708">
        <w:rPr>
          <w:rFonts w:eastAsia="Times New Roman"/>
          <w:b/>
          <w:sz w:val="24"/>
          <w:szCs w:val="24"/>
        </w:rPr>
        <w:t>y</w:t>
      </w:r>
    </w:p>
    <w:p w:rsidR="00B911CB" w:rsidRPr="00071708" w:rsidRDefault="00B911CB" w:rsidP="002D1EAD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 xml:space="preserve">This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Pr="00071708">
        <w:rPr>
          <w:rFonts w:eastAsia="Times New Roman"/>
          <w:sz w:val="24"/>
          <w:szCs w:val="24"/>
        </w:rPr>
        <w:t xml:space="preserve"> Compliance Policy and its associated guidelines and procedures sets the minimum requirements for all procurement activities at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Pr="00071708">
        <w:rPr>
          <w:rFonts w:eastAsia="Times New Roman"/>
          <w:sz w:val="24"/>
          <w:szCs w:val="24"/>
        </w:rPr>
        <w:t>.</w:t>
      </w:r>
    </w:p>
    <w:p w:rsidR="001F522A" w:rsidRPr="00071708" w:rsidRDefault="00F0430B" w:rsidP="001F522A">
      <w:pPr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br/>
      </w:r>
      <w:r w:rsidR="00BA45F3" w:rsidRPr="00071708">
        <w:rPr>
          <w:sz w:val="24"/>
          <w:szCs w:val="24"/>
        </w:rPr>
        <w:t xml:space="preserve">This overarching procurement governance document is further defined into three (3) major components, these components detail the procurement processes to </w:t>
      </w:r>
      <w:r w:rsidR="00132F8A" w:rsidRPr="00071708">
        <w:rPr>
          <w:sz w:val="24"/>
          <w:szCs w:val="24"/>
        </w:rPr>
        <w:t xml:space="preserve">be </w:t>
      </w:r>
      <w:r w:rsidR="00BA45F3" w:rsidRPr="00071708">
        <w:rPr>
          <w:sz w:val="24"/>
          <w:szCs w:val="24"/>
        </w:rPr>
        <w:t>followed when undertak</w:t>
      </w:r>
      <w:r w:rsidR="00132F8A" w:rsidRPr="00071708">
        <w:rPr>
          <w:sz w:val="24"/>
          <w:szCs w:val="24"/>
        </w:rPr>
        <w:t>ing</w:t>
      </w:r>
      <w:r w:rsidR="00BA45F3" w:rsidRPr="00071708">
        <w:rPr>
          <w:sz w:val="24"/>
          <w:szCs w:val="24"/>
        </w:rPr>
        <w:t xml:space="preserve"> procurement. Following these procurement policies which will ensure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="00BA45F3" w:rsidRPr="00071708">
        <w:rPr>
          <w:rFonts w:eastAsia="Times New Roman"/>
          <w:sz w:val="24"/>
          <w:szCs w:val="24"/>
        </w:rPr>
        <w:t xml:space="preserve"> is compliant with HPV procurement framework. The three policies are:</w:t>
      </w:r>
    </w:p>
    <w:p w:rsidR="00240155" w:rsidRPr="00071708" w:rsidRDefault="00240155" w:rsidP="009931AA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Procurement Governance;</w:t>
      </w:r>
    </w:p>
    <w:p w:rsidR="00240155" w:rsidRPr="00071708" w:rsidRDefault="00240155" w:rsidP="009931AA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 xml:space="preserve">Procurement </w:t>
      </w:r>
      <w:r w:rsidR="00037A39" w:rsidRPr="00071708">
        <w:rPr>
          <w:rFonts w:eastAsia="Times New Roman"/>
          <w:sz w:val="24"/>
          <w:szCs w:val="24"/>
        </w:rPr>
        <w:t>Strategic Analysis</w:t>
      </w:r>
      <w:r w:rsidRPr="00071708">
        <w:rPr>
          <w:rFonts w:eastAsia="Times New Roman"/>
          <w:sz w:val="24"/>
          <w:szCs w:val="24"/>
        </w:rPr>
        <w:t>;</w:t>
      </w:r>
      <w:r w:rsidR="00BA45F3" w:rsidRPr="00071708">
        <w:rPr>
          <w:rFonts w:eastAsia="Times New Roman"/>
          <w:sz w:val="24"/>
          <w:szCs w:val="24"/>
        </w:rPr>
        <w:t xml:space="preserve"> and</w:t>
      </w:r>
    </w:p>
    <w:p w:rsidR="00240155" w:rsidRPr="00071708" w:rsidRDefault="00240155" w:rsidP="009931AA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Collective Purchasing</w:t>
      </w:r>
      <w:r w:rsidR="005A5389" w:rsidRPr="00071708">
        <w:rPr>
          <w:rFonts w:eastAsia="Times New Roman"/>
          <w:sz w:val="24"/>
          <w:szCs w:val="24"/>
        </w:rPr>
        <w:br/>
      </w:r>
    </w:p>
    <w:p w:rsidR="00F077C8" w:rsidRPr="00071708" w:rsidRDefault="0080259F" w:rsidP="005A5389">
      <w:pPr>
        <w:tabs>
          <w:tab w:val="left" w:pos="-90"/>
          <w:tab w:val="left" w:pos="360"/>
        </w:tabs>
        <w:rPr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>Procurement Governance</w:t>
      </w:r>
      <w:r w:rsidRPr="00071708">
        <w:rPr>
          <w:rFonts w:eastAsia="Times New Roman"/>
          <w:b/>
          <w:sz w:val="24"/>
          <w:szCs w:val="24"/>
        </w:rPr>
        <w:br/>
      </w:r>
      <w:r w:rsidRPr="00071708">
        <w:rPr>
          <w:rFonts w:eastAsia="Times New Roman"/>
          <w:sz w:val="24"/>
          <w:szCs w:val="24"/>
        </w:rPr>
        <w:t xml:space="preserve">The policy aims to ensure </w:t>
      </w:r>
      <w:r w:rsidR="00F51F55" w:rsidRPr="00071708">
        <w:rPr>
          <w:rFonts w:eastAsia="Times New Roman"/>
          <w:sz w:val="24"/>
          <w:szCs w:val="24"/>
        </w:rPr>
        <w:t xml:space="preserve">the most stringent accountability, compliance and probity guidelines are met from the outset. </w:t>
      </w:r>
      <w:r w:rsidR="00F077C8" w:rsidRPr="00071708">
        <w:rPr>
          <w:rFonts w:eastAsia="Times New Roman"/>
          <w:sz w:val="24"/>
          <w:szCs w:val="24"/>
        </w:rPr>
        <w:t xml:space="preserve">The policy outlines the requirements for establishing a governance framework to monitor and manage procurement across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="00F077C8" w:rsidRPr="00071708">
        <w:rPr>
          <w:rFonts w:eastAsia="Times New Roman"/>
          <w:sz w:val="24"/>
          <w:szCs w:val="24"/>
        </w:rPr>
        <w:t>. This is mandated for</w:t>
      </w:r>
      <w:r w:rsidR="00F51F55" w:rsidRPr="00071708">
        <w:rPr>
          <w:rFonts w:eastAsia="Times New Roman"/>
          <w:sz w:val="24"/>
          <w:szCs w:val="24"/>
        </w:rPr>
        <w:t xml:space="preserve"> </w:t>
      </w:r>
      <w:r w:rsidR="00F077C8" w:rsidRPr="00071708">
        <w:rPr>
          <w:sz w:val="24"/>
          <w:szCs w:val="24"/>
        </w:rPr>
        <w:t xml:space="preserve">all Schedule 1 and 5 public hospitals and health services as listed under the </w:t>
      </w:r>
      <w:r w:rsidR="008874F3" w:rsidRPr="00071708">
        <w:rPr>
          <w:sz w:val="24"/>
          <w:szCs w:val="24"/>
        </w:rPr>
        <w:t xml:space="preserve">Health Services </w:t>
      </w:r>
      <w:r w:rsidR="00F077C8" w:rsidRPr="00071708">
        <w:rPr>
          <w:sz w:val="24"/>
          <w:szCs w:val="24"/>
        </w:rPr>
        <w:t>Act</w:t>
      </w:r>
      <w:r w:rsidR="008874F3" w:rsidRPr="00071708">
        <w:rPr>
          <w:sz w:val="24"/>
          <w:szCs w:val="24"/>
        </w:rPr>
        <w:t xml:space="preserve"> 1988</w:t>
      </w:r>
      <w:r w:rsidR="00F077C8" w:rsidRPr="00071708">
        <w:rPr>
          <w:sz w:val="24"/>
          <w:szCs w:val="24"/>
        </w:rPr>
        <w:t>.</w:t>
      </w:r>
    </w:p>
    <w:p w:rsidR="00E41544" w:rsidRPr="00071708" w:rsidRDefault="00E41544" w:rsidP="005A5389">
      <w:pPr>
        <w:tabs>
          <w:tab w:val="left" w:pos="-90"/>
          <w:tab w:val="left" w:pos="360"/>
        </w:tabs>
        <w:rPr>
          <w:sz w:val="24"/>
          <w:szCs w:val="24"/>
        </w:rPr>
      </w:pPr>
    </w:p>
    <w:p w:rsidR="00F077C8" w:rsidRPr="00071708" w:rsidRDefault="0080259F" w:rsidP="005A5389">
      <w:pPr>
        <w:tabs>
          <w:tab w:val="left" w:pos="-90"/>
          <w:tab w:val="left" w:pos="360"/>
        </w:tabs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>Procurement Strategic Analysis</w:t>
      </w:r>
      <w:r w:rsidRPr="00071708">
        <w:rPr>
          <w:rFonts w:eastAsia="Times New Roman"/>
          <w:b/>
          <w:sz w:val="24"/>
          <w:szCs w:val="24"/>
        </w:rPr>
        <w:br/>
      </w:r>
      <w:r w:rsidR="00F077C8" w:rsidRPr="00071708">
        <w:rPr>
          <w:rFonts w:eastAsia="Times New Roman"/>
          <w:sz w:val="24"/>
          <w:szCs w:val="24"/>
        </w:rPr>
        <w:t xml:space="preserve">This policy outlines the requirements for determining the complexity level of the procurement activities undertaken by </w:t>
      </w:r>
      <w:r w:rsidR="00EC01E8" w:rsidRPr="00071708">
        <w:rPr>
          <w:rFonts w:eastAsia="Times New Roman"/>
          <w:sz w:val="24"/>
          <w:szCs w:val="24"/>
        </w:rPr>
        <w:t>Casterton Memorial Hospital</w:t>
      </w:r>
      <w:r w:rsidR="00F077C8" w:rsidRPr="00071708">
        <w:rPr>
          <w:rFonts w:eastAsia="Times New Roman"/>
          <w:sz w:val="24"/>
          <w:szCs w:val="24"/>
        </w:rPr>
        <w:t>, and assessing the capability level needed to match the complexity of a procurement activi</w:t>
      </w:r>
      <w:r w:rsidR="004D0339" w:rsidRPr="00071708">
        <w:rPr>
          <w:rFonts w:eastAsia="Times New Roman"/>
          <w:sz w:val="24"/>
          <w:szCs w:val="24"/>
        </w:rPr>
        <w:t xml:space="preserve">ty. The policy is mandated for </w:t>
      </w:r>
      <w:r w:rsidR="004D0339" w:rsidRPr="00071708">
        <w:rPr>
          <w:sz w:val="24"/>
          <w:szCs w:val="24"/>
        </w:rPr>
        <w:t>all</w:t>
      </w:r>
      <w:r w:rsidR="00F077C8" w:rsidRPr="00071708">
        <w:rPr>
          <w:sz w:val="24"/>
          <w:szCs w:val="24"/>
        </w:rPr>
        <w:t xml:space="preserve"> Schedule 1 and 5 public hospitals and health services as listed under the </w:t>
      </w:r>
      <w:r w:rsidR="008874F3" w:rsidRPr="00071708">
        <w:rPr>
          <w:sz w:val="24"/>
          <w:szCs w:val="24"/>
        </w:rPr>
        <w:t xml:space="preserve">Health Services Act 1988. </w:t>
      </w:r>
      <w:r w:rsidR="008874F3" w:rsidRPr="00071708">
        <w:rPr>
          <w:sz w:val="24"/>
          <w:szCs w:val="24"/>
        </w:rPr>
        <w:br/>
      </w:r>
    </w:p>
    <w:p w:rsidR="00E41544" w:rsidRPr="00071708" w:rsidRDefault="0080259F" w:rsidP="005A5389">
      <w:pPr>
        <w:tabs>
          <w:tab w:val="left" w:pos="-90"/>
          <w:tab w:val="left" w:pos="360"/>
        </w:tabs>
        <w:rPr>
          <w:rFonts w:eastAsia="Times New Roman"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t xml:space="preserve">Collective </w:t>
      </w:r>
      <w:r w:rsidR="00E41544" w:rsidRPr="00071708">
        <w:rPr>
          <w:rFonts w:eastAsia="Times New Roman"/>
          <w:b/>
          <w:sz w:val="24"/>
          <w:szCs w:val="24"/>
        </w:rPr>
        <w:t>Purchasing</w:t>
      </w:r>
    </w:p>
    <w:p w:rsidR="0080259F" w:rsidRPr="00071708" w:rsidRDefault="00E41544" w:rsidP="005A5389">
      <w:pPr>
        <w:tabs>
          <w:tab w:val="left" w:pos="-90"/>
          <w:tab w:val="left" w:pos="360"/>
        </w:tabs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This</w:t>
      </w:r>
      <w:r w:rsidR="0080259F" w:rsidRPr="00071708">
        <w:rPr>
          <w:rFonts w:eastAsia="Times New Roman"/>
          <w:sz w:val="24"/>
          <w:szCs w:val="24"/>
        </w:rPr>
        <w:t xml:space="preserve"> ne</w:t>
      </w:r>
      <w:r w:rsidR="00802F01">
        <w:rPr>
          <w:rFonts w:eastAsia="Times New Roman"/>
          <w:sz w:val="24"/>
          <w:szCs w:val="24"/>
        </w:rPr>
        <w:t>w policy replaces the current HS</w:t>
      </w:r>
      <w:r w:rsidR="0080259F" w:rsidRPr="00071708">
        <w:rPr>
          <w:rFonts w:eastAsia="Times New Roman"/>
          <w:sz w:val="24"/>
          <w:szCs w:val="24"/>
        </w:rPr>
        <w:t>V Principal Purchasing Policy. It encourages deeper spend analysis to identify further aggregated purchasing opportunities for the State and provide a consistent reporting framework for the Minister for Health to demonstrate how health services are driving greater value via procurement decisions.</w:t>
      </w:r>
    </w:p>
    <w:p w:rsidR="0080259F" w:rsidRPr="00071708" w:rsidRDefault="008874F3" w:rsidP="005A5389">
      <w:pPr>
        <w:tabs>
          <w:tab w:val="left" w:pos="-90"/>
          <w:tab w:val="left" w:pos="360"/>
        </w:tabs>
        <w:rPr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 xml:space="preserve">This is mandated for </w:t>
      </w:r>
      <w:r w:rsidRPr="00071708">
        <w:rPr>
          <w:sz w:val="24"/>
          <w:szCs w:val="24"/>
        </w:rPr>
        <w:t>all Schedule 1 and 5 public hospitals and health services as listed under the Health Services Act 1988.</w:t>
      </w:r>
    </w:p>
    <w:p w:rsidR="00E41544" w:rsidRPr="00071708" w:rsidRDefault="00E41544" w:rsidP="005A5389">
      <w:pPr>
        <w:tabs>
          <w:tab w:val="left" w:pos="-90"/>
          <w:tab w:val="left" w:pos="360"/>
        </w:tabs>
        <w:rPr>
          <w:sz w:val="24"/>
          <w:szCs w:val="24"/>
        </w:rPr>
      </w:pPr>
    </w:p>
    <w:p w:rsidR="007B58C5" w:rsidRDefault="007B58C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5A5389" w:rsidRPr="00071708" w:rsidRDefault="005A5389" w:rsidP="005A5389">
      <w:pPr>
        <w:tabs>
          <w:tab w:val="left" w:pos="-90"/>
          <w:tab w:val="left" w:pos="360"/>
        </w:tabs>
        <w:rPr>
          <w:b/>
          <w:sz w:val="24"/>
          <w:szCs w:val="24"/>
        </w:rPr>
      </w:pPr>
      <w:r w:rsidRPr="00071708">
        <w:rPr>
          <w:rFonts w:eastAsia="Times New Roman"/>
          <w:b/>
          <w:sz w:val="24"/>
          <w:szCs w:val="24"/>
        </w:rPr>
        <w:lastRenderedPageBreak/>
        <w:t xml:space="preserve">Evaluation </w:t>
      </w:r>
    </w:p>
    <w:p w:rsidR="00E41544" w:rsidRDefault="00EC01E8" w:rsidP="005A5389">
      <w:pPr>
        <w:tabs>
          <w:tab w:val="left" w:pos="-90"/>
        </w:tabs>
        <w:rPr>
          <w:rFonts w:eastAsia="Times New Roman"/>
          <w:sz w:val="24"/>
          <w:szCs w:val="24"/>
        </w:rPr>
      </w:pPr>
      <w:r w:rsidRPr="00071708">
        <w:rPr>
          <w:rFonts w:eastAsia="Times New Roman"/>
          <w:sz w:val="24"/>
          <w:szCs w:val="24"/>
        </w:rPr>
        <w:t>Casterton Memorial Hospital</w:t>
      </w:r>
      <w:r w:rsidR="005A5389" w:rsidRPr="00071708">
        <w:rPr>
          <w:rFonts w:eastAsia="Times New Roman"/>
          <w:sz w:val="24"/>
          <w:szCs w:val="24"/>
        </w:rPr>
        <w:t xml:space="preserve"> is to ensure that this policy and all other related policies are to be reviewed on an annual basis or as required in accordance with its Governance guidelines.</w:t>
      </w:r>
      <w:r w:rsidR="005A5389" w:rsidRPr="00071708">
        <w:rPr>
          <w:rFonts w:eastAsia="Times New Roman"/>
          <w:sz w:val="24"/>
          <w:szCs w:val="24"/>
        </w:rPr>
        <w:br/>
      </w:r>
    </w:p>
    <w:p w:rsidR="00DE0667" w:rsidRPr="00453875" w:rsidRDefault="00DE0667" w:rsidP="00DE0667">
      <w:pPr>
        <w:tabs>
          <w:tab w:val="left" w:pos="-90"/>
        </w:tabs>
        <w:rPr>
          <w:rFonts w:eastAsia="Times New Roman"/>
          <w:b/>
          <w:sz w:val="24"/>
          <w:szCs w:val="24"/>
        </w:rPr>
      </w:pPr>
      <w:r w:rsidRPr="00453875">
        <w:rPr>
          <w:rFonts w:eastAsia="Times New Roman"/>
          <w:b/>
          <w:sz w:val="24"/>
          <w:szCs w:val="24"/>
        </w:rPr>
        <w:t>CMH Key Aligned Documents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- Procurement Policy Framework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- Strategic Procurement Process Policy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- Collective Procurement Policy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– Collective Procurement Under HPV Contracts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– Health Purchasing Compliance Statement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- Complaints &amp; Feedback Management Policy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- Contract Management Strategy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– Contract Management Plan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Guidelines - Strategic Procurement &amp; Contract Management Procedures &amp; Guidelines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Guidelines - Clinical Incident Procurement Procedure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Annual Procurement Activity Plan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Supplier Engagement Plan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Procurement Capability Plan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Policy - Asset Management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Instrument of Delegations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Financial Management Policy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>CMH Financial Code of Practice</w:t>
      </w:r>
    </w:p>
    <w:p w:rsidR="00DE0667" w:rsidRPr="00453875" w:rsidRDefault="00DE0667" w:rsidP="00DE0667">
      <w:pPr>
        <w:tabs>
          <w:tab w:val="left" w:pos="-90"/>
        </w:tabs>
        <w:rPr>
          <w:rFonts w:eastAsia="Times New Roman"/>
          <w:sz w:val="24"/>
          <w:szCs w:val="24"/>
        </w:rPr>
      </w:pPr>
    </w:p>
    <w:p w:rsidR="00DE0667" w:rsidRPr="00453875" w:rsidRDefault="00DE0667" w:rsidP="00DE0667">
      <w:pPr>
        <w:tabs>
          <w:tab w:val="left" w:pos="-90"/>
        </w:tabs>
        <w:rPr>
          <w:rFonts w:eastAsia="Times New Roman"/>
          <w:b/>
          <w:sz w:val="24"/>
          <w:szCs w:val="24"/>
        </w:rPr>
      </w:pPr>
      <w:r w:rsidRPr="00453875">
        <w:rPr>
          <w:rFonts w:eastAsia="Times New Roman"/>
          <w:b/>
          <w:sz w:val="24"/>
          <w:szCs w:val="24"/>
        </w:rPr>
        <w:t>Key Legislation, Acts and Standards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</w:rPr>
      </w:pPr>
      <w:r w:rsidRPr="004B694B">
        <w:rPr>
          <w:rFonts w:eastAsia="Times New Roman"/>
          <w:i/>
        </w:rPr>
        <w:t xml:space="preserve">Health Purchasing Policies are made by the </w:t>
      </w:r>
      <w:r w:rsidR="00802F01">
        <w:rPr>
          <w:rFonts w:eastAsia="Times New Roman"/>
          <w:i/>
        </w:rPr>
        <w:t>HealthShare</w:t>
      </w:r>
      <w:r w:rsidRPr="004B694B">
        <w:rPr>
          <w:rFonts w:eastAsia="Times New Roman"/>
          <w:i/>
        </w:rPr>
        <w:t xml:space="preserve"> Victoria (H</w:t>
      </w:r>
      <w:r w:rsidR="00802F01">
        <w:rPr>
          <w:rFonts w:eastAsia="Times New Roman"/>
          <w:i/>
        </w:rPr>
        <w:t>S</w:t>
      </w:r>
      <w:r w:rsidRPr="004B694B">
        <w:rPr>
          <w:rFonts w:eastAsia="Times New Roman"/>
          <w:i/>
        </w:rPr>
        <w:t>V) Board in accordance with s134 of the Health Services Act 1988 (the Act). Casterton Memorial Hospital is a Schedule 5 public hospital and must comply with Health Purchasing Policies</w:t>
      </w:r>
      <w:r w:rsidRPr="004B694B">
        <w:rPr>
          <w:rFonts w:eastAsia="Times New Roman"/>
        </w:rPr>
        <w:t>.</w:t>
      </w:r>
    </w:p>
    <w:p w:rsidR="00DE0667" w:rsidRPr="00453875" w:rsidRDefault="00DE0667" w:rsidP="00DE0667">
      <w:pPr>
        <w:tabs>
          <w:tab w:val="left" w:pos="-90"/>
        </w:tabs>
        <w:rPr>
          <w:rFonts w:eastAsia="Times New Roman"/>
          <w:sz w:val="24"/>
          <w:szCs w:val="24"/>
        </w:rPr>
      </w:pPr>
    </w:p>
    <w:p w:rsidR="00DE0667" w:rsidRPr="00453875" w:rsidRDefault="00DE0667" w:rsidP="00DE0667">
      <w:pPr>
        <w:tabs>
          <w:tab w:val="left" w:pos="-90"/>
        </w:tabs>
        <w:rPr>
          <w:rFonts w:eastAsia="Times New Roman"/>
          <w:b/>
          <w:sz w:val="24"/>
          <w:szCs w:val="24"/>
        </w:rPr>
      </w:pPr>
      <w:r w:rsidRPr="00453875">
        <w:rPr>
          <w:rFonts w:eastAsia="Times New Roman"/>
          <w:b/>
          <w:sz w:val="24"/>
          <w:szCs w:val="24"/>
        </w:rPr>
        <w:t>References</w:t>
      </w:r>
    </w:p>
    <w:p w:rsidR="00DE0667" w:rsidRPr="004B694B" w:rsidRDefault="00DE0667" w:rsidP="00DE0667">
      <w:pPr>
        <w:tabs>
          <w:tab w:val="left" w:pos="-90"/>
        </w:tabs>
        <w:rPr>
          <w:rFonts w:eastAsia="Times New Roman"/>
          <w:i/>
        </w:rPr>
      </w:pPr>
      <w:r w:rsidRPr="004B694B">
        <w:rPr>
          <w:rFonts w:eastAsia="Times New Roman"/>
          <w:i/>
        </w:rPr>
        <w:t xml:space="preserve">Health Purchasing Policy - Procurement Governance – Establishing a governance framework for procurement, </w:t>
      </w:r>
    </w:p>
    <w:p w:rsidR="00DE0667" w:rsidRPr="004B694B" w:rsidRDefault="00802F01" w:rsidP="00DE0667">
      <w:pPr>
        <w:tabs>
          <w:tab w:val="left" w:pos="-90"/>
        </w:tabs>
        <w:rPr>
          <w:rFonts w:eastAsia="Times New Roman"/>
          <w:i/>
        </w:rPr>
      </w:pPr>
      <w:r>
        <w:rPr>
          <w:rFonts w:eastAsia="Times New Roman"/>
          <w:i/>
        </w:rPr>
        <w:t>HS</w:t>
      </w:r>
      <w:r w:rsidR="00DE0667" w:rsidRPr="004B694B">
        <w:rPr>
          <w:rFonts w:eastAsia="Times New Roman"/>
          <w:i/>
        </w:rPr>
        <w:t xml:space="preserve">V 26 June 2014, accessed at: </w:t>
      </w:r>
      <w:hyperlink w:history="1">
        <w:r w:rsidRPr="00CF0013">
          <w:rPr>
            <w:rStyle w:val="Hyperlink"/>
            <w:rFonts w:eastAsia="Times New Roman"/>
            <w:i/>
          </w:rPr>
          <w:t xml:space="preserve">www.healthsharevic.org.au </w:t>
        </w:r>
      </w:hyperlink>
      <w:r w:rsidR="00DE0667" w:rsidRPr="004B694B">
        <w:rPr>
          <w:rFonts w:eastAsia="Times New Roman"/>
          <w:i/>
        </w:rPr>
        <w:t xml:space="preserve"> </w:t>
      </w: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7B58C5" w:rsidRDefault="007B58C5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br w:type="page"/>
      </w: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  <w:gridCol w:w="1544"/>
      </w:tblGrid>
      <w:tr w:rsidR="009F4095" w:rsidRPr="009F4095" w:rsidTr="00913572"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9F4095" w:rsidRDefault="009F4095" w:rsidP="009F4095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F40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Category (See CMH Policy)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9F4095" w:rsidRDefault="009F4095" w:rsidP="009F4095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F40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Risk Rating</w:t>
            </w:r>
          </w:p>
        </w:tc>
      </w:tr>
      <w:tr w:rsidR="009F4095" w:rsidRPr="009F4095" w:rsidTr="00913572">
        <w:tc>
          <w:tcPr>
            <w:tcW w:w="6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9F4095" w:rsidRDefault="009F4095" w:rsidP="009F4095">
            <w:pPr>
              <w:rPr>
                <w:rFonts w:ascii="Calibri" w:eastAsia="Calibri" w:hAnsi="Calibri"/>
                <w:sz w:val="18"/>
                <w:szCs w:val="18"/>
              </w:rPr>
            </w:pPr>
            <w:r w:rsidRPr="009F4095">
              <w:rPr>
                <w:rFonts w:eastAsia="Times New Roman"/>
                <w:sz w:val="24"/>
                <w:szCs w:val="24"/>
              </w:rPr>
              <w:t>Likelihood of Adverse Event occurring.   </w:t>
            </w:r>
            <w:r w:rsidRPr="009F4095">
              <w:rPr>
                <w:rFonts w:eastAsia="Times New Roman"/>
                <w:i/>
                <w:iCs/>
                <w:sz w:val="18"/>
                <w:szCs w:val="18"/>
              </w:rPr>
              <w:t>(Almost Certain, Likely, Possible, Unlikely, Rare</w:t>
            </w:r>
            <w:r w:rsidRPr="009F4095">
              <w:rPr>
                <w:rFonts w:eastAsia="Times New Roman"/>
                <w:sz w:val="18"/>
                <w:szCs w:val="18"/>
              </w:rPr>
              <w:t>)</w:t>
            </w:r>
          </w:p>
          <w:p w:rsidR="009F4095" w:rsidRPr="009F4095" w:rsidRDefault="009F4095" w:rsidP="009F409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560CFC" w:rsidRDefault="009F4095" w:rsidP="009F4095">
            <w:pPr>
              <w:rPr>
                <w:rFonts w:eastAsia="Calibri"/>
                <w:sz w:val="24"/>
                <w:szCs w:val="24"/>
              </w:rPr>
            </w:pPr>
            <w:r w:rsidRPr="00560CFC">
              <w:rPr>
                <w:rFonts w:eastAsia="Calibri"/>
                <w:sz w:val="24"/>
                <w:szCs w:val="24"/>
              </w:rPr>
              <w:t>Possible</w:t>
            </w:r>
          </w:p>
        </w:tc>
      </w:tr>
      <w:tr w:rsidR="009F4095" w:rsidRPr="009F4095" w:rsidTr="00913572">
        <w:tc>
          <w:tcPr>
            <w:tcW w:w="6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9F4095" w:rsidRDefault="009F4095" w:rsidP="009F4095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9F4095">
              <w:rPr>
                <w:rFonts w:eastAsia="Times New Roman"/>
                <w:sz w:val="24"/>
                <w:szCs w:val="24"/>
              </w:rPr>
              <w:t xml:space="preserve">Consequence </w:t>
            </w:r>
            <w:r w:rsidRPr="009F4095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Pr="009F4095">
              <w:rPr>
                <w:rFonts w:eastAsia="Times New Roman"/>
                <w:i/>
                <w:iCs/>
                <w:sz w:val="18"/>
                <w:szCs w:val="18"/>
              </w:rPr>
              <w:t>Insignificant, Minor, Moderate, Major, Extreme</w:t>
            </w:r>
            <w:r w:rsidRPr="009F4095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560CFC" w:rsidRDefault="009F4095" w:rsidP="009F4095">
            <w:pPr>
              <w:rPr>
                <w:rFonts w:eastAsia="Calibri"/>
                <w:sz w:val="24"/>
                <w:szCs w:val="24"/>
              </w:rPr>
            </w:pPr>
            <w:r w:rsidRPr="00560CFC">
              <w:rPr>
                <w:rFonts w:eastAsia="Calibri"/>
                <w:sz w:val="24"/>
                <w:szCs w:val="24"/>
              </w:rPr>
              <w:t xml:space="preserve">Minor </w:t>
            </w:r>
          </w:p>
        </w:tc>
      </w:tr>
      <w:tr w:rsidR="009F4095" w:rsidRPr="009F4095" w:rsidTr="00913572">
        <w:tc>
          <w:tcPr>
            <w:tcW w:w="6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9F4095" w:rsidRDefault="009F4095" w:rsidP="009F4095">
            <w:pPr>
              <w:rPr>
                <w:rFonts w:ascii="Calibri" w:eastAsia="Calibri" w:hAnsi="Calibri"/>
                <w:sz w:val="22"/>
                <w:szCs w:val="22"/>
              </w:rPr>
            </w:pPr>
            <w:r w:rsidRPr="009F4095">
              <w:rPr>
                <w:rFonts w:eastAsia="Times New Roman"/>
                <w:sz w:val="24"/>
                <w:szCs w:val="24"/>
              </w:rPr>
              <w:t>Overall Risk Rate  (</w:t>
            </w:r>
            <w:r w:rsidRPr="009F4095">
              <w:rPr>
                <w:rFonts w:eastAsia="Times New Roman"/>
                <w:sz w:val="18"/>
                <w:szCs w:val="18"/>
              </w:rPr>
              <w:t>Extreme</w:t>
            </w:r>
            <w:r w:rsidRPr="009F4095">
              <w:rPr>
                <w:rFonts w:eastAsia="Times New Roman"/>
                <w:sz w:val="24"/>
                <w:szCs w:val="24"/>
              </w:rPr>
              <w:t xml:space="preserve">, </w:t>
            </w:r>
            <w:r w:rsidRPr="009F4095">
              <w:rPr>
                <w:rFonts w:eastAsia="Times New Roman"/>
                <w:sz w:val="18"/>
                <w:szCs w:val="18"/>
              </w:rPr>
              <w:t>High, Medium, Low</w:t>
            </w:r>
            <w:r w:rsidRPr="009F409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95" w:rsidRPr="00560CFC" w:rsidRDefault="009F4095" w:rsidP="009F4095">
            <w:pPr>
              <w:rPr>
                <w:rFonts w:eastAsia="Calibri"/>
                <w:sz w:val="24"/>
                <w:szCs w:val="24"/>
              </w:rPr>
            </w:pPr>
            <w:r w:rsidRPr="00560CFC">
              <w:rPr>
                <w:rFonts w:eastAsia="Calibri"/>
                <w:sz w:val="24"/>
                <w:szCs w:val="24"/>
              </w:rPr>
              <w:t xml:space="preserve">Medium </w:t>
            </w:r>
          </w:p>
        </w:tc>
      </w:tr>
    </w:tbl>
    <w:p w:rsidR="009F4095" w:rsidRDefault="009F4095" w:rsidP="009F4095">
      <w:pPr>
        <w:rPr>
          <w:rFonts w:eastAsia="Times New Roman"/>
          <w:sz w:val="24"/>
          <w:szCs w:val="24"/>
        </w:rPr>
      </w:pPr>
    </w:p>
    <w:p w:rsidR="007B58C5" w:rsidRDefault="007B58C5" w:rsidP="009F4095">
      <w:pPr>
        <w:rPr>
          <w:rFonts w:eastAsia="Times New Roman"/>
          <w:sz w:val="24"/>
          <w:szCs w:val="24"/>
        </w:rPr>
      </w:pPr>
    </w:p>
    <w:p w:rsidR="007B58C5" w:rsidRDefault="007B58C5" w:rsidP="009F4095">
      <w:pPr>
        <w:rPr>
          <w:rFonts w:eastAsia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96"/>
        <w:gridCol w:w="1809"/>
        <w:gridCol w:w="1530"/>
        <w:gridCol w:w="4860"/>
      </w:tblGrid>
      <w:tr w:rsidR="007B58C5" w:rsidTr="00C03117">
        <w:tc>
          <w:tcPr>
            <w:tcW w:w="1696" w:type="dxa"/>
          </w:tcPr>
          <w:p w:rsidR="007B58C5" w:rsidRPr="000D0569" w:rsidRDefault="007B58C5" w:rsidP="00C03117">
            <w:pPr>
              <w:jc w:val="center"/>
              <w:rPr>
                <w:b/>
                <w:sz w:val="24"/>
                <w:szCs w:val="24"/>
              </w:rPr>
            </w:pPr>
            <w:r w:rsidRPr="000D0569">
              <w:rPr>
                <w:b/>
                <w:sz w:val="24"/>
                <w:szCs w:val="24"/>
              </w:rPr>
              <w:t>Document Version</w:t>
            </w:r>
          </w:p>
        </w:tc>
        <w:tc>
          <w:tcPr>
            <w:tcW w:w="1809" w:type="dxa"/>
          </w:tcPr>
          <w:p w:rsidR="007B58C5" w:rsidRPr="000D0569" w:rsidRDefault="007B58C5" w:rsidP="00C03117">
            <w:pPr>
              <w:jc w:val="center"/>
              <w:rPr>
                <w:b/>
                <w:sz w:val="24"/>
                <w:szCs w:val="24"/>
              </w:rPr>
            </w:pPr>
            <w:r w:rsidRPr="000D0569">
              <w:rPr>
                <w:b/>
                <w:sz w:val="24"/>
                <w:szCs w:val="24"/>
              </w:rPr>
              <w:t>Author of Changes</w:t>
            </w:r>
          </w:p>
        </w:tc>
        <w:tc>
          <w:tcPr>
            <w:tcW w:w="1530" w:type="dxa"/>
          </w:tcPr>
          <w:p w:rsidR="007B58C5" w:rsidRPr="000D0569" w:rsidRDefault="007B58C5" w:rsidP="00C03117">
            <w:pPr>
              <w:jc w:val="center"/>
              <w:rPr>
                <w:b/>
                <w:sz w:val="24"/>
                <w:szCs w:val="24"/>
              </w:rPr>
            </w:pPr>
            <w:r w:rsidRPr="000D056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7B58C5" w:rsidRPr="000D0569" w:rsidRDefault="007B58C5" w:rsidP="00C03117">
            <w:pPr>
              <w:jc w:val="center"/>
              <w:rPr>
                <w:b/>
                <w:sz w:val="24"/>
                <w:szCs w:val="24"/>
              </w:rPr>
            </w:pPr>
            <w:r w:rsidRPr="000D0569">
              <w:rPr>
                <w:b/>
                <w:sz w:val="24"/>
                <w:szCs w:val="24"/>
              </w:rPr>
              <w:t>Change Details</w:t>
            </w:r>
          </w:p>
        </w:tc>
      </w:tr>
      <w:tr w:rsidR="007B58C5" w:rsidTr="00C03117">
        <w:tc>
          <w:tcPr>
            <w:tcW w:w="1696" w:type="dxa"/>
          </w:tcPr>
          <w:p w:rsidR="007B58C5" w:rsidRPr="000D0569" w:rsidRDefault="007B58C5" w:rsidP="00C03117">
            <w:pPr>
              <w:rPr>
                <w:sz w:val="24"/>
                <w:szCs w:val="24"/>
              </w:rPr>
            </w:pPr>
            <w:r w:rsidRPr="000D0569">
              <w:rPr>
                <w:sz w:val="24"/>
                <w:szCs w:val="24"/>
              </w:rPr>
              <w:t>2.</w:t>
            </w:r>
            <w:r w:rsidR="00802F01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7B58C5" w:rsidRPr="000D0569" w:rsidRDefault="007B58C5" w:rsidP="00C0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 Hulm</w:t>
            </w:r>
          </w:p>
        </w:tc>
        <w:tc>
          <w:tcPr>
            <w:tcW w:w="1530" w:type="dxa"/>
          </w:tcPr>
          <w:p w:rsidR="007B58C5" w:rsidRPr="000D0569" w:rsidRDefault="00802F01" w:rsidP="00C0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2022</w:t>
            </w:r>
          </w:p>
        </w:tc>
        <w:tc>
          <w:tcPr>
            <w:tcW w:w="4860" w:type="dxa"/>
          </w:tcPr>
          <w:p w:rsidR="007B58C5" w:rsidRPr="000D0569" w:rsidRDefault="00802F01" w:rsidP="007B58C5">
            <w:pPr>
              <w:pStyle w:val="ListParagraph"/>
              <w:numPr>
                <w:ilvl w:val="0"/>
                <w:numId w:val="27"/>
              </w:numPr>
            </w:pPr>
            <w:r>
              <w:t>Change of name from Health Purchasing Victoria (HPV) to HealthShare Victoria (HSV)</w:t>
            </w:r>
          </w:p>
        </w:tc>
      </w:tr>
    </w:tbl>
    <w:p w:rsidR="007B58C5" w:rsidRPr="009F4095" w:rsidRDefault="007B58C5" w:rsidP="009F4095">
      <w:pPr>
        <w:rPr>
          <w:rFonts w:eastAsia="Times New Roman"/>
          <w:sz w:val="24"/>
          <w:szCs w:val="24"/>
        </w:rPr>
      </w:pPr>
    </w:p>
    <w:p w:rsidR="009F4095" w:rsidRDefault="009F4095" w:rsidP="009F4095">
      <w:pPr>
        <w:rPr>
          <w:rFonts w:eastAsia="Times New Roman"/>
          <w:sz w:val="24"/>
          <w:szCs w:val="24"/>
        </w:rPr>
      </w:pPr>
    </w:p>
    <w:p w:rsidR="007B58C5" w:rsidRPr="009F4095" w:rsidRDefault="007B58C5" w:rsidP="009F4095">
      <w:pPr>
        <w:rPr>
          <w:rFonts w:eastAsia="Times New Roman"/>
          <w:sz w:val="24"/>
          <w:szCs w:val="24"/>
        </w:rPr>
      </w:pPr>
    </w:p>
    <w:p w:rsidR="007B58C5" w:rsidRPr="009F4095" w:rsidRDefault="007B58C5" w:rsidP="007B58C5">
      <w:pPr>
        <w:keepNext/>
        <w:outlineLvl w:val="1"/>
        <w:rPr>
          <w:rFonts w:eastAsia="Times New Roman"/>
          <w:szCs w:val="24"/>
        </w:rPr>
      </w:pPr>
      <w:r w:rsidRPr="009F4095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igned off</w:t>
      </w:r>
      <w:r w:rsidRPr="009F4095">
        <w:rPr>
          <w:rFonts w:eastAsia="Times New Roman"/>
          <w:b/>
          <w:szCs w:val="24"/>
        </w:rPr>
        <w:t>:</w:t>
      </w:r>
      <w:r w:rsidRPr="009F4095">
        <w:rPr>
          <w:rFonts w:eastAsia="Times New Roman"/>
          <w:szCs w:val="24"/>
        </w:rPr>
        <w:t xml:space="preserve">  ……………………………………………………….</w:t>
      </w:r>
    </w:p>
    <w:p w:rsidR="007B58C5" w:rsidRPr="009F4095" w:rsidRDefault="007B58C5" w:rsidP="007B58C5">
      <w:pPr>
        <w:rPr>
          <w:rFonts w:eastAsia="Times New Roman"/>
          <w:b/>
          <w:szCs w:val="24"/>
        </w:rPr>
      </w:pPr>
      <w:r w:rsidRPr="009F4095">
        <w:rPr>
          <w:rFonts w:eastAsia="Times New Roman"/>
          <w:b/>
          <w:szCs w:val="24"/>
        </w:rPr>
        <w:tab/>
      </w:r>
      <w:r w:rsidRPr="009F4095">
        <w:rPr>
          <w:rFonts w:eastAsia="Times New Roman"/>
          <w:b/>
          <w:szCs w:val="24"/>
        </w:rPr>
        <w:tab/>
      </w:r>
      <w:r w:rsidRPr="009F4095">
        <w:rPr>
          <w:rFonts w:eastAsia="Times New Roman"/>
          <w:b/>
          <w:szCs w:val="24"/>
        </w:rPr>
        <w:tab/>
        <w:t>Chief Executive Officer</w:t>
      </w:r>
    </w:p>
    <w:p w:rsidR="007B58C5" w:rsidRPr="009F4095" w:rsidRDefault="007B58C5" w:rsidP="007B58C5">
      <w:pPr>
        <w:rPr>
          <w:rFonts w:eastAsia="Times New Roman"/>
          <w:b/>
          <w:szCs w:val="24"/>
        </w:rPr>
      </w:pPr>
    </w:p>
    <w:p w:rsidR="007B58C5" w:rsidRPr="009F4095" w:rsidRDefault="007B58C5" w:rsidP="007B58C5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Dated</w:t>
      </w:r>
      <w:r w:rsidRPr="009F4095">
        <w:rPr>
          <w:rFonts w:eastAsia="Times New Roman"/>
          <w:b/>
          <w:szCs w:val="24"/>
        </w:rPr>
        <w:t>:                ………………………</w:t>
      </w:r>
      <w:r>
        <w:rPr>
          <w:rFonts w:eastAsia="Times New Roman"/>
          <w:b/>
          <w:szCs w:val="24"/>
        </w:rPr>
        <w:t>………</w:t>
      </w:r>
      <w:r w:rsidRPr="009F4095">
        <w:rPr>
          <w:rFonts w:eastAsia="Times New Roman"/>
          <w:b/>
          <w:szCs w:val="24"/>
        </w:rPr>
        <w:t>….</w:t>
      </w: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071708" w:rsidRDefault="00071708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DE0667" w:rsidRDefault="00DE0667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DE0667" w:rsidRDefault="00DE0667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Default="009F4095" w:rsidP="00593AF3">
      <w:pPr>
        <w:tabs>
          <w:tab w:val="left" w:pos="-90"/>
        </w:tabs>
        <w:rPr>
          <w:rFonts w:ascii="Calibri" w:eastAsia="Times New Roman" w:hAnsi="Calibri" w:cs="Calibri"/>
          <w:i/>
        </w:rPr>
      </w:pPr>
    </w:p>
    <w:p w:rsidR="009F4095" w:rsidRPr="009F4095" w:rsidRDefault="009F4095" w:rsidP="009F4095">
      <w:pPr>
        <w:rPr>
          <w:rFonts w:eastAsia="Times New Roman"/>
          <w:sz w:val="24"/>
          <w:szCs w:val="24"/>
        </w:rPr>
      </w:pP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Author: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Barwon South West Procurement Reform Committee</w:t>
      </w: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Validated: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Loren Hulm – Corporate Services Officer</w:t>
      </w: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Approved: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Executive</w:t>
      </w: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Initial Compilation: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February 2016</w:t>
      </w:r>
    </w:p>
    <w:p w:rsidR="007B58C5" w:rsidRPr="00C3153F" w:rsidRDefault="007B58C5" w:rsidP="007B58C5">
      <w:pPr>
        <w:pBdr>
          <w:top w:val="double" w:sz="4" w:space="9" w:color="auto"/>
        </w:pBdr>
        <w:rPr>
          <w:rFonts w:eastAsia="Times New Roman"/>
          <w:b/>
          <w:szCs w:val="24"/>
        </w:rPr>
      </w:pPr>
      <w:r w:rsidRPr="00C3153F">
        <w:rPr>
          <w:rFonts w:eastAsia="Times New Roman"/>
          <w:b/>
          <w:szCs w:val="24"/>
        </w:rPr>
        <w:t>Previous Review Date: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802F01">
        <w:rPr>
          <w:rFonts w:eastAsia="Times New Roman"/>
          <w:szCs w:val="24"/>
        </w:rPr>
        <w:t>February 2021</w:t>
      </w: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Current </w:t>
      </w:r>
      <w:r w:rsidRPr="00A449EA">
        <w:rPr>
          <w:rFonts w:eastAsia="Times New Roman"/>
          <w:b/>
          <w:szCs w:val="24"/>
        </w:rPr>
        <w:t>Review Date:</w:t>
      </w:r>
      <w:r w:rsidR="00802F01">
        <w:rPr>
          <w:rFonts w:eastAsia="Times New Roman"/>
          <w:szCs w:val="24"/>
        </w:rPr>
        <w:tab/>
      </w:r>
      <w:r w:rsidR="00802F01">
        <w:rPr>
          <w:rFonts w:eastAsia="Times New Roman"/>
          <w:szCs w:val="24"/>
        </w:rPr>
        <w:tab/>
        <w:t>March 2022</w:t>
      </w: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Next Review: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802F01">
        <w:rPr>
          <w:rFonts w:eastAsia="Times New Roman"/>
          <w:szCs w:val="24"/>
        </w:rPr>
        <w:t>March 2023</w:t>
      </w:r>
    </w:p>
    <w:p w:rsidR="007B58C5" w:rsidRDefault="007B58C5" w:rsidP="007B58C5">
      <w:pPr>
        <w:pBdr>
          <w:top w:val="double" w:sz="4" w:space="9" w:color="auto"/>
        </w:pBdr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Distribution: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Hospital Policy &amp; CMH Procurement Manuals</w:t>
      </w:r>
    </w:p>
    <w:p w:rsidR="009F4095" w:rsidRPr="007B58C5" w:rsidRDefault="007B58C5" w:rsidP="007B58C5">
      <w:pPr>
        <w:pBdr>
          <w:top w:val="double" w:sz="4" w:space="9" w:color="auto"/>
        </w:pBdr>
        <w:ind w:left="2880" w:hanging="2880"/>
        <w:rPr>
          <w:sz w:val="16"/>
          <w:szCs w:val="16"/>
        </w:rPr>
      </w:pPr>
      <w:r w:rsidRPr="00C3153F">
        <w:rPr>
          <w:rFonts w:eastAsia="Times New Roman"/>
          <w:b/>
          <w:szCs w:val="24"/>
        </w:rPr>
        <w:t>File:</w:t>
      </w:r>
      <w:r>
        <w:rPr>
          <w:rFonts w:eastAsia="Times New Roman"/>
          <w:b/>
          <w:szCs w:val="24"/>
        </w:rPr>
        <w:tab/>
      </w:r>
      <w:r w:rsidRPr="00C3153F">
        <w:rPr>
          <w:rFonts w:eastAsia="Times New Roman"/>
          <w:szCs w:val="24"/>
        </w:rPr>
        <w:t>(J:)Hospital Policy &amp; Procedure Manual/Master Copies/Hospital Policy/Hospital Policy &amp; CMH Procurement</w:t>
      </w:r>
      <w:bookmarkStart w:id="0" w:name="_GoBack"/>
      <w:bookmarkEnd w:id="0"/>
    </w:p>
    <w:sectPr w:rsidR="009F4095" w:rsidRPr="007B58C5" w:rsidSect="00C6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134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AE" w:rsidRDefault="00AD36AE" w:rsidP="00882AF2">
      <w:pPr>
        <w:pStyle w:val="Header"/>
      </w:pPr>
      <w:r>
        <w:separator/>
      </w:r>
    </w:p>
  </w:endnote>
  <w:endnote w:type="continuationSeparator" w:id="0">
    <w:p w:rsidR="00AD36AE" w:rsidRDefault="00AD36AE" w:rsidP="00882AF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59" w:rsidRPr="000509FC" w:rsidRDefault="00090859" w:rsidP="00090859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C3B49">
      <w:rPr>
        <w:sz w:val="16"/>
        <w:szCs w:val="16"/>
      </w:rPr>
      <w:t xml:space="preserve">Page </w:t>
    </w:r>
    <w:r w:rsidRPr="00BC3B49">
      <w:rPr>
        <w:sz w:val="16"/>
        <w:szCs w:val="16"/>
      </w:rPr>
      <w:fldChar w:fldCharType="begin"/>
    </w:r>
    <w:r w:rsidRPr="00BC3B49">
      <w:rPr>
        <w:sz w:val="16"/>
        <w:szCs w:val="16"/>
      </w:rPr>
      <w:instrText xml:space="preserve"> PAGE </w:instrText>
    </w:r>
    <w:r w:rsidRPr="00BC3B49">
      <w:rPr>
        <w:sz w:val="16"/>
        <w:szCs w:val="16"/>
      </w:rPr>
      <w:fldChar w:fldCharType="separate"/>
    </w:r>
    <w:r w:rsidR="00C6525C">
      <w:rPr>
        <w:noProof/>
        <w:sz w:val="16"/>
        <w:szCs w:val="16"/>
      </w:rPr>
      <w:t>2</w:t>
    </w:r>
    <w:r w:rsidRPr="00BC3B49">
      <w:rPr>
        <w:sz w:val="16"/>
        <w:szCs w:val="16"/>
      </w:rPr>
      <w:fldChar w:fldCharType="end"/>
    </w:r>
    <w:r w:rsidRPr="00BC3B49">
      <w:rPr>
        <w:sz w:val="16"/>
        <w:szCs w:val="16"/>
      </w:rPr>
      <w:t xml:space="preserve"> of </w:t>
    </w:r>
    <w:r w:rsidRPr="00BC3B49">
      <w:rPr>
        <w:sz w:val="16"/>
        <w:szCs w:val="16"/>
      </w:rPr>
      <w:fldChar w:fldCharType="begin"/>
    </w:r>
    <w:r w:rsidRPr="00BC3B49">
      <w:rPr>
        <w:sz w:val="16"/>
        <w:szCs w:val="16"/>
      </w:rPr>
      <w:instrText xml:space="preserve"> NUMPAGES </w:instrText>
    </w:r>
    <w:r w:rsidRPr="00BC3B49">
      <w:rPr>
        <w:sz w:val="16"/>
        <w:szCs w:val="16"/>
      </w:rPr>
      <w:fldChar w:fldCharType="separate"/>
    </w:r>
    <w:r w:rsidR="00C5306E">
      <w:rPr>
        <w:noProof/>
        <w:sz w:val="16"/>
        <w:szCs w:val="16"/>
      </w:rPr>
      <w:t>3</w:t>
    </w:r>
    <w:r w:rsidRPr="00BC3B49">
      <w:rPr>
        <w:sz w:val="16"/>
        <w:szCs w:val="16"/>
      </w:rPr>
      <w:fldChar w:fldCharType="end"/>
    </w:r>
  </w:p>
  <w:p w:rsidR="00090859" w:rsidRDefault="00090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C5" w:rsidRDefault="007B58C5" w:rsidP="007B58C5"/>
  <w:p w:rsidR="007B58C5" w:rsidRDefault="007B58C5" w:rsidP="007B58C5">
    <w:pPr>
      <w:pStyle w:val="Footer"/>
      <w:tabs>
        <w:tab w:val="clear" w:pos="4153"/>
        <w:tab w:val="left" w:pos="3600"/>
        <w:tab w:val="left" w:pos="4140"/>
        <w:tab w:val="left" w:pos="6480"/>
        <w:tab w:val="left" w:pos="7200"/>
        <w:tab w:val="left" w:pos="75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Prompt Doc No: CMH000164</w:t>
    </w:r>
    <w:r>
      <w:rPr>
        <w:rFonts w:ascii="Arial" w:hAnsi="Arial" w:cs="Arial"/>
        <w:sz w:val="16"/>
      </w:rPr>
      <w:tab/>
      <w:t xml:space="preserve">Approval Date:     February 2016    </w:t>
    </w:r>
    <w:r>
      <w:rPr>
        <w:rFonts w:ascii="Arial" w:hAnsi="Arial" w:cs="Arial"/>
        <w:sz w:val="16"/>
      </w:rPr>
      <w:tab/>
      <w:t xml:space="preserve">          Due for Review:     </w:t>
    </w:r>
    <w:r w:rsidR="00802F01">
      <w:rPr>
        <w:rFonts w:ascii="Arial" w:hAnsi="Arial" w:cs="Arial"/>
        <w:sz w:val="16"/>
      </w:rPr>
      <w:t>March 2023</w:t>
    </w:r>
  </w:p>
  <w:tbl>
    <w:tblPr>
      <w:tblW w:w="9720" w:type="dxa"/>
      <w:tblInd w:w="108" w:type="dxa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9720"/>
    </w:tblGrid>
    <w:tr w:rsidR="007B58C5" w:rsidTr="00C03117">
      <w:trPr>
        <w:trHeight w:val="276"/>
      </w:trPr>
      <w:tc>
        <w:tcPr>
          <w:tcW w:w="97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B58C5" w:rsidRDefault="007B58C5" w:rsidP="007B58C5">
          <w:pPr>
            <w:pStyle w:val="Footer2"/>
            <w:rPr>
              <w:rFonts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 w:rsidR="00802F01">
            <w:rPr>
              <w:rFonts w:cs="Arial"/>
              <w:noProof/>
            </w:rPr>
            <w:t>4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</w:instrText>
          </w:r>
          <w:r>
            <w:rPr>
              <w:rFonts w:cs="Arial"/>
            </w:rPr>
            <w:fldChar w:fldCharType="separate"/>
          </w:r>
          <w:r w:rsidR="00802F01">
            <w:rPr>
              <w:rFonts w:cs="Arial"/>
              <w:noProof/>
            </w:rPr>
            <w:t>4</w:t>
          </w:r>
          <w:r>
            <w:rPr>
              <w:rFonts w:cs="Arial"/>
            </w:rPr>
            <w:fldChar w:fldCharType="end"/>
          </w:r>
        </w:p>
      </w:tc>
    </w:tr>
  </w:tbl>
  <w:p w:rsidR="007B58C5" w:rsidRDefault="007B58C5" w:rsidP="007B58C5">
    <w:pPr>
      <w:pStyle w:val="Footer2"/>
    </w:pPr>
    <w:r>
      <w:t>UNCONTROLLED WHEN DOWNLOADED</w:t>
    </w:r>
  </w:p>
  <w:p w:rsidR="00882AF2" w:rsidRPr="000509FC" w:rsidRDefault="00882AF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C5" w:rsidRDefault="007B58C5" w:rsidP="007B58C5"/>
  <w:p w:rsidR="007B58C5" w:rsidRDefault="006A4D53" w:rsidP="007B58C5">
    <w:pPr>
      <w:pStyle w:val="Footer"/>
      <w:tabs>
        <w:tab w:val="clear" w:pos="4153"/>
        <w:tab w:val="left" w:pos="3600"/>
        <w:tab w:val="left" w:pos="4140"/>
        <w:tab w:val="left" w:pos="6480"/>
        <w:tab w:val="left" w:pos="7200"/>
        <w:tab w:val="left" w:pos="75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Prompt Doc No: CMH0001664</w:t>
    </w:r>
    <w:r w:rsidR="007B58C5">
      <w:rPr>
        <w:rFonts w:ascii="Arial" w:hAnsi="Arial" w:cs="Arial"/>
        <w:sz w:val="16"/>
      </w:rPr>
      <w:t xml:space="preserve"> </w:t>
    </w:r>
    <w:r w:rsidR="007B58C5">
      <w:rPr>
        <w:rFonts w:ascii="Arial" w:hAnsi="Arial" w:cs="Arial"/>
        <w:sz w:val="16"/>
      </w:rPr>
      <w:tab/>
      <w:t xml:space="preserve">Approval Date:     February 2016    </w:t>
    </w:r>
    <w:r w:rsidR="007B58C5">
      <w:rPr>
        <w:rFonts w:ascii="Arial" w:hAnsi="Arial" w:cs="Arial"/>
        <w:sz w:val="16"/>
      </w:rPr>
      <w:tab/>
      <w:t xml:space="preserve">          Due for Review:     February 2022</w:t>
    </w:r>
  </w:p>
  <w:tbl>
    <w:tblPr>
      <w:tblW w:w="9720" w:type="dxa"/>
      <w:tblInd w:w="108" w:type="dxa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9720"/>
    </w:tblGrid>
    <w:tr w:rsidR="007B58C5" w:rsidTr="00C03117">
      <w:trPr>
        <w:trHeight w:val="276"/>
      </w:trPr>
      <w:tc>
        <w:tcPr>
          <w:tcW w:w="97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B58C5" w:rsidRDefault="007B58C5" w:rsidP="007B58C5">
          <w:pPr>
            <w:pStyle w:val="Footer2"/>
            <w:rPr>
              <w:rFonts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 w:rsidR="00802F01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</w:instrText>
          </w:r>
          <w:r>
            <w:rPr>
              <w:rFonts w:cs="Arial"/>
            </w:rPr>
            <w:fldChar w:fldCharType="separate"/>
          </w:r>
          <w:r w:rsidR="00802F01">
            <w:rPr>
              <w:rFonts w:cs="Arial"/>
              <w:noProof/>
            </w:rPr>
            <w:t>4</w:t>
          </w:r>
          <w:r>
            <w:rPr>
              <w:rFonts w:cs="Arial"/>
            </w:rPr>
            <w:fldChar w:fldCharType="end"/>
          </w:r>
        </w:p>
      </w:tc>
    </w:tr>
  </w:tbl>
  <w:p w:rsidR="007B58C5" w:rsidRDefault="007B58C5" w:rsidP="007B58C5">
    <w:pPr>
      <w:pStyle w:val="Footer2"/>
    </w:pPr>
    <w:r>
      <w:t>UNCONTROLLED WHEN DOWNLOADED</w:t>
    </w:r>
  </w:p>
  <w:p w:rsidR="007B58C5" w:rsidRDefault="007B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AE" w:rsidRDefault="00AD36AE" w:rsidP="00882AF2">
      <w:pPr>
        <w:pStyle w:val="Header"/>
      </w:pPr>
      <w:r>
        <w:separator/>
      </w:r>
    </w:p>
  </w:footnote>
  <w:footnote w:type="continuationSeparator" w:id="0">
    <w:p w:rsidR="00AD36AE" w:rsidRDefault="00AD36AE" w:rsidP="00882AF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B9" w:rsidRDefault="00EE3268" w:rsidP="002E42B9">
    <w:pPr>
      <w:pStyle w:val="Header"/>
      <w:jc w:val="right"/>
    </w:pPr>
    <w:r>
      <w:rPr>
        <w:noProof/>
        <w:lang w:eastAsia="en-AU"/>
      </w:rPr>
      <w:drawing>
        <wp:inline distT="0" distB="0" distL="0" distR="0" wp14:anchorId="635DF696" wp14:editId="26C9BD1F">
          <wp:extent cx="1045210" cy="626745"/>
          <wp:effectExtent l="0" t="0" r="2540" b="1905"/>
          <wp:docPr id="25" name="Picture 25" descr="N:\Procurement Reform-HPV\Reforms\Regions\Barwon Southwest\B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:\Procurement Reform-HPV\Reforms\Regions\Barwon Southwest\B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07"/>
      <w:gridCol w:w="2879"/>
    </w:tblGrid>
    <w:tr w:rsidR="007B58C5" w:rsidRPr="00FF02A9" w:rsidTr="00C03117">
      <w:trPr>
        <w:trHeight w:val="1428"/>
      </w:trPr>
      <w:tc>
        <w:tcPr>
          <w:tcW w:w="9286" w:type="dxa"/>
          <w:gridSpan w:val="2"/>
        </w:tcPr>
        <w:p w:rsidR="007B58C5" w:rsidRPr="00FF02A9" w:rsidRDefault="007B58C5" w:rsidP="007B58C5">
          <w:pPr>
            <w:tabs>
              <w:tab w:val="center" w:pos="4153"/>
              <w:tab w:val="right" w:pos="8306"/>
            </w:tabs>
            <w:rPr>
              <w:rFonts w:eastAsia="Times New Roman"/>
              <w:sz w:val="24"/>
              <w:szCs w:val="24"/>
            </w:rPr>
          </w:pPr>
        </w:p>
        <w:p w:rsidR="007B58C5" w:rsidRPr="00FF02A9" w:rsidRDefault="007B58C5" w:rsidP="007B58C5">
          <w:pPr>
            <w:tabs>
              <w:tab w:val="center" w:pos="4153"/>
              <w:tab w:val="right" w:pos="8306"/>
            </w:tabs>
            <w:jc w:val="center"/>
            <w:rPr>
              <w:rFonts w:eastAsia="Times New Roman"/>
              <w:sz w:val="40"/>
              <w:szCs w:val="40"/>
            </w:rPr>
          </w:pPr>
          <w:r>
            <w:rPr>
              <w:rFonts w:eastAsia="Times New Roman"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0CBC37AF" wp14:editId="2BB0E0A2">
                <wp:simplePos x="0" y="0"/>
                <wp:positionH relativeFrom="column">
                  <wp:posOffset>-1211580</wp:posOffset>
                </wp:positionH>
                <wp:positionV relativeFrom="paragraph">
                  <wp:posOffset>-175260</wp:posOffset>
                </wp:positionV>
                <wp:extent cx="1097280" cy="901065"/>
                <wp:effectExtent l="0" t="0" r="7620" b="0"/>
                <wp:wrapTight wrapText="bothSides">
                  <wp:wrapPolygon edited="0">
                    <wp:start x="0" y="0"/>
                    <wp:lineTo x="0" y="21006"/>
                    <wp:lineTo x="21375" y="21006"/>
                    <wp:lineTo x="21375" y="0"/>
                    <wp:lineTo x="0" y="0"/>
                  </wp:wrapPolygon>
                </wp:wrapTight>
                <wp:docPr id="1" name="Picture 1" descr="CMH_logo Low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H_logo Low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F02A9">
            <w:rPr>
              <w:rFonts w:eastAsia="Times New Roman"/>
              <w:sz w:val="40"/>
              <w:szCs w:val="40"/>
            </w:rPr>
            <w:t xml:space="preserve">Casterton </w:t>
          </w:r>
          <w:smartTag w:uri="urn:schemas-microsoft-com:office:smarttags" w:element="PlaceName">
            <w:r w:rsidRPr="00FF02A9">
              <w:rPr>
                <w:rFonts w:eastAsia="Times New Roman"/>
                <w:sz w:val="40"/>
                <w:szCs w:val="40"/>
              </w:rPr>
              <w:t>Memorial</w:t>
            </w:r>
          </w:smartTag>
          <w:r w:rsidRPr="00FF02A9">
            <w:rPr>
              <w:rFonts w:eastAsia="Times New Roman"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FF02A9">
              <w:rPr>
                <w:rFonts w:eastAsia="Times New Roman"/>
                <w:sz w:val="40"/>
                <w:szCs w:val="40"/>
              </w:rPr>
              <w:t>Hospital</w:t>
            </w:r>
          </w:smartTag>
        </w:p>
      </w:tc>
    </w:tr>
    <w:tr w:rsidR="007B58C5" w:rsidRPr="00FF02A9" w:rsidTr="00C03117">
      <w:trPr>
        <w:trHeight w:val="303"/>
      </w:trPr>
      <w:tc>
        <w:tcPr>
          <w:tcW w:w="9286" w:type="dxa"/>
          <w:gridSpan w:val="2"/>
        </w:tcPr>
        <w:p w:rsidR="007B58C5" w:rsidRPr="00FF02A9" w:rsidRDefault="007B58C5" w:rsidP="007B58C5">
          <w:pPr>
            <w:tabs>
              <w:tab w:val="center" w:pos="4153"/>
              <w:tab w:val="right" w:pos="8306"/>
            </w:tabs>
            <w:rPr>
              <w:rFonts w:eastAsia="Times New Roman"/>
              <w:b/>
              <w:sz w:val="32"/>
              <w:szCs w:val="32"/>
            </w:rPr>
          </w:pPr>
          <w:r w:rsidRPr="00FF02A9">
            <w:rPr>
              <w:rFonts w:eastAsia="Times New Roman"/>
              <w:sz w:val="24"/>
              <w:szCs w:val="24"/>
            </w:rPr>
            <w:t xml:space="preserve">     </w:t>
          </w:r>
          <w:r w:rsidRPr="00FF02A9">
            <w:rPr>
              <w:rFonts w:eastAsia="Times New Roman"/>
              <w:b/>
              <w:sz w:val="28"/>
              <w:szCs w:val="28"/>
            </w:rPr>
            <w:t>Title:</w:t>
          </w:r>
          <w:r w:rsidRPr="00FF02A9">
            <w:rPr>
              <w:rFonts w:eastAsia="Times New Roman"/>
              <w:sz w:val="28"/>
              <w:szCs w:val="28"/>
            </w:rPr>
            <w:t xml:space="preserve">     </w:t>
          </w:r>
          <w:r w:rsidRPr="00DE0667">
            <w:rPr>
              <w:rFonts w:eastAsia="Times New Roman"/>
              <w:b/>
              <w:sz w:val="28"/>
              <w:szCs w:val="28"/>
            </w:rPr>
            <w:t>Procurement</w:t>
          </w:r>
          <w:r>
            <w:rPr>
              <w:rFonts w:eastAsia="Times New Roman"/>
              <w:sz w:val="28"/>
              <w:szCs w:val="28"/>
            </w:rPr>
            <w:t xml:space="preserve"> - </w:t>
          </w:r>
          <w:r w:rsidRPr="00FF02A9">
            <w:rPr>
              <w:rFonts w:eastAsia="Times New Roman"/>
              <w:sz w:val="28"/>
              <w:szCs w:val="28"/>
            </w:rPr>
            <w:t xml:space="preserve"> </w:t>
          </w:r>
          <w:r>
            <w:rPr>
              <w:rFonts w:eastAsia="Times New Roman"/>
              <w:b/>
              <w:sz w:val="32"/>
              <w:szCs w:val="28"/>
            </w:rPr>
            <w:t>Health Purchasing Compliance Statement</w:t>
          </w:r>
        </w:p>
        <w:p w:rsidR="007B58C5" w:rsidRPr="00FF02A9" w:rsidRDefault="007B58C5" w:rsidP="007B58C5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</w:p>
      </w:tc>
    </w:tr>
    <w:tr w:rsidR="007B58C5" w:rsidRPr="00FF02A9" w:rsidTr="00C03117">
      <w:trPr>
        <w:trHeight w:val="341"/>
      </w:trPr>
      <w:tc>
        <w:tcPr>
          <w:tcW w:w="6407" w:type="dxa"/>
        </w:tcPr>
        <w:p w:rsidR="007B58C5" w:rsidRPr="00FF02A9" w:rsidRDefault="007B58C5" w:rsidP="007B58C5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  <w:r w:rsidRPr="00FF02A9">
            <w:rPr>
              <w:rFonts w:eastAsia="Times New Roman"/>
              <w:sz w:val="24"/>
              <w:szCs w:val="24"/>
            </w:rPr>
            <w:t xml:space="preserve">     </w:t>
          </w:r>
          <w:r w:rsidRPr="00FF02A9">
            <w:rPr>
              <w:rFonts w:eastAsia="Times New Roman"/>
              <w:b/>
              <w:sz w:val="28"/>
              <w:szCs w:val="28"/>
            </w:rPr>
            <w:t>Manual:</w:t>
          </w:r>
          <w:r w:rsidRPr="00FF02A9">
            <w:rPr>
              <w:rFonts w:eastAsia="Times New Roman"/>
              <w:sz w:val="28"/>
              <w:szCs w:val="28"/>
            </w:rPr>
            <w:t xml:space="preserve">      Hospital Policy</w:t>
          </w:r>
          <w:r>
            <w:rPr>
              <w:rFonts w:eastAsia="Times New Roman"/>
              <w:sz w:val="28"/>
              <w:szCs w:val="28"/>
            </w:rPr>
            <w:t xml:space="preserve"> &amp; CMH Procurement</w:t>
          </w:r>
        </w:p>
        <w:p w:rsidR="007B58C5" w:rsidRPr="00FF02A9" w:rsidRDefault="007B58C5" w:rsidP="007B58C5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</w:p>
      </w:tc>
      <w:tc>
        <w:tcPr>
          <w:tcW w:w="2879" w:type="dxa"/>
        </w:tcPr>
        <w:p w:rsidR="007B58C5" w:rsidRPr="00FF02A9" w:rsidRDefault="007B58C5" w:rsidP="007B58C5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  <w:r w:rsidRPr="00FF02A9">
            <w:rPr>
              <w:rFonts w:eastAsia="Times New Roman"/>
              <w:b/>
              <w:sz w:val="28"/>
              <w:szCs w:val="28"/>
            </w:rPr>
            <w:t>Type:</w:t>
          </w:r>
          <w:r w:rsidRPr="00FF02A9">
            <w:rPr>
              <w:rFonts w:eastAsia="Times New Roman"/>
              <w:sz w:val="28"/>
              <w:szCs w:val="28"/>
            </w:rPr>
            <w:t xml:space="preserve">      Policy</w:t>
          </w:r>
        </w:p>
      </w:tc>
    </w:tr>
  </w:tbl>
  <w:p w:rsidR="002E42B9" w:rsidRPr="007B58C5" w:rsidRDefault="002E42B9" w:rsidP="007B5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07"/>
      <w:gridCol w:w="2879"/>
    </w:tblGrid>
    <w:tr w:rsidR="00FF02A9" w:rsidRPr="00FF02A9" w:rsidTr="00913572">
      <w:trPr>
        <w:trHeight w:val="1428"/>
      </w:trPr>
      <w:tc>
        <w:tcPr>
          <w:tcW w:w="9286" w:type="dxa"/>
          <w:gridSpan w:val="2"/>
        </w:tcPr>
        <w:p w:rsidR="00FF02A9" w:rsidRPr="00FF02A9" w:rsidRDefault="00FF02A9" w:rsidP="00FF02A9">
          <w:pPr>
            <w:tabs>
              <w:tab w:val="center" w:pos="4153"/>
              <w:tab w:val="right" w:pos="8306"/>
            </w:tabs>
            <w:rPr>
              <w:rFonts w:eastAsia="Times New Roman"/>
              <w:sz w:val="24"/>
              <w:szCs w:val="24"/>
            </w:rPr>
          </w:pPr>
        </w:p>
        <w:p w:rsidR="00FF02A9" w:rsidRPr="00FF02A9" w:rsidRDefault="00FF02A9" w:rsidP="00FF02A9">
          <w:pPr>
            <w:tabs>
              <w:tab w:val="center" w:pos="4153"/>
              <w:tab w:val="right" w:pos="8306"/>
            </w:tabs>
            <w:jc w:val="center"/>
            <w:rPr>
              <w:rFonts w:eastAsia="Times New Roman"/>
              <w:sz w:val="40"/>
              <w:szCs w:val="40"/>
            </w:rPr>
          </w:pPr>
          <w:r>
            <w:rPr>
              <w:rFonts w:eastAsia="Times New Roman"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246925EE" wp14:editId="70E0E2DD">
                <wp:simplePos x="0" y="0"/>
                <wp:positionH relativeFrom="column">
                  <wp:posOffset>-1211580</wp:posOffset>
                </wp:positionH>
                <wp:positionV relativeFrom="paragraph">
                  <wp:posOffset>-175260</wp:posOffset>
                </wp:positionV>
                <wp:extent cx="1097280" cy="901065"/>
                <wp:effectExtent l="0" t="0" r="7620" b="0"/>
                <wp:wrapTight wrapText="bothSides">
                  <wp:wrapPolygon edited="0">
                    <wp:start x="0" y="0"/>
                    <wp:lineTo x="0" y="21006"/>
                    <wp:lineTo x="21375" y="21006"/>
                    <wp:lineTo x="21375" y="0"/>
                    <wp:lineTo x="0" y="0"/>
                  </wp:wrapPolygon>
                </wp:wrapTight>
                <wp:docPr id="2" name="Picture 2" descr="CMH_logo Low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H_logo Low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F02A9">
            <w:rPr>
              <w:rFonts w:eastAsia="Times New Roman"/>
              <w:sz w:val="40"/>
              <w:szCs w:val="40"/>
            </w:rPr>
            <w:t xml:space="preserve">Casterton </w:t>
          </w:r>
          <w:smartTag w:uri="urn:schemas-microsoft-com:office:smarttags" w:element="PlaceName">
            <w:r w:rsidRPr="00FF02A9">
              <w:rPr>
                <w:rFonts w:eastAsia="Times New Roman"/>
                <w:sz w:val="40"/>
                <w:szCs w:val="40"/>
              </w:rPr>
              <w:t>Memorial</w:t>
            </w:r>
          </w:smartTag>
          <w:r w:rsidRPr="00FF02A9">
            <w:rPr>
              <w:rFonts w:eastAsia="Times New Roman"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FF02A9">
              <w:rPr>
                <w:rFonts w:eastAsia="Times New Roman"/>
                <w:sz w:val="40"/>
                <w:szCs w:val="40"/>
              </w:rPr>
              <w:t>Hospital</w:t>
            </w:r>
          </w:smartTag>
        </w:p>
      </w:tc>
    </w:tr>
    <w:tr w:rsidR="00FF02A9" w:rsidRPr="00FF02A9" w:rsidTr="00913572">
      <w:trPr>
        <w:trHeight w:val="303"/>
      </w:trPr>
      <w:tc>
        <w:tcPr>
          <w:tcW w:w="9286" w:type="dxa"/>
          <w:gridSpan w:val="2"/>
        </w:tcPr>
        <w:p w:rsidR="00FF02A9" w:rsidRPr="00FF02A9" w:rsidRDefault="00FF02A9" w:rsidP="00FF02A9">
          <w:pPr>
            <w:tabs>
              <w:tab w:val="center" w:pos="4153"/>
              <w:tab w:val="right" w:pos="8306"/>
            </w:tabs>
            <w:rPr>
              <w:rFonts w:eastAsia="Times New Roman"/>
              <w:b/>
              <w:sz w:val="32"/>
              <w:szCs w:val="32"/>
            </w:rPr>
          </w:pPr>
          <w:r w:rsidRPr="00FF02A9">
            <w:rPr>
              <w:rFonts w:eastAsia="Times New Roman"/>
              <w:sz w:val="24"/>
              <w:szCs w:val="24"/>
            </w:rPr>
            <w:t xml:space="preserve">     </w:t>
          </w:r>
          <w:r w:rsidRPr="00FF02A9">
            <w:rPr>
              <w:rFonts w:eastAsia="Times New Roman"/>
              <w:b/>
              <w:sz w:val="28"/>
              <w:szCs w:val="28"/>
            </w:rPr>
            <w:t>Title:</w:t>
          </w:r>
          <w:r w:rsidRPr="00FF02A9">
            <w:rPr>
              <w:rFonts w:eastAsia="Times New Roman"/>
              <w:sz w:val="28"/>
              <w:szCs w:val="28"/>
            </w:rPr>
            <w:t xml:space="preserve">     </w:t>
          </w:r>
          <w:r w:rsidR="00DE0667" w:rsidRPr="00DE0667">
            <w:rPr>
              <w:rFonts w:eastAsia="Times New Roman"/>
              <w:b/>
              <w:sz w:val="28"/>
              <w:szCs w:val="28"/>
            </w:rPr>
            <w:t>Procurement</w:t>
          </w:r>
          <w:r w:rsidR="00DE0667">
            <w:rPr>
              <w:rFonts w:eastAsia="Times New Roman"/>
              <w:sz w:val="28"/>
              <w:szCs w:val="28"/>
            </w:rPr>
            <w:t xml:space="preserve"> - </w:t>
          </w:r>
          <w:r w:rsidRPr="00FF02A9">
            <w:rPr>
              <w:rFonts w:eastAsia="Times New Roman"/>
              <w:sz w:val="28"/>
              <w:szCs w:val="28"/>
            </w:rPr>
            <w:t xml:space="preserve"> </w:t>
          </w:r>
          <w:r>
            <w:rPr>
              <w:rFonts w:eastAsia="Times New Roman"/>
              <w:b/>
              <w:sz w:val="32"/>
              <w:szCs w:val="28"/>
            </w:rPr>
            <w:t>Health Purchasing Compliance Statement</w:t>
          </w:r>
        </w:p>
        <w:p w:rsidR="00FF02A9" w:rsidRPr="00FF02A9" w:rsidRDefault="00FF02A9" w:rsidP="00FF02A9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</w:p>
      </w:tc>
    </w:tr>
    <w:tr w:rsidR="00FF02A9" w:rsidRPr="00FF02A9" w:rsidTr="00913572">
      <w:trPr>
        <w:trHeight w:val="341"/>
      </w:trPr>
      <w:tc>
        <w:tcPr>
          <w:tcW w:w="6407" w:type="dxa"/>
        </w:tcPr>
        <w:p w:rsidR="00FF02A9" w:rsidRPr="00FF02A9" w:rsidRDefault="00FF02A9" w:rsidP="00FF02A9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  <w:r w:rsidRPr="00FF02A9">
            <w:rPr>
              <w:rFonts w:eastAsia="Times New Roman"/>
              <w:sz w:val="24"/>
              <w:szCs w:val="24"/>
            </w:rPr>
            <w:t xml:space="preserve">     </w:t>
          </w:r>
          <w:r w:rsidRPr="00FF02A9">
            <w:rPr>
              <w:rFonts w:eastAsia="Times New Roman"/>
              <w:b/>
              <w:sz w:val="28"/>
              <w:szCs w:val="28"/>
            </w:rPr>
            <w:t>Manual:</w:t>
          </w:r>
          <w:r w:rsidRPr="00FF02A9">
            <w:rPr>
              <w:rFonts w:eastAsia="Times New Roman"/>
              <w:sz w:val="28"/>
              <w:szCs w:val="28"/>
            </w:rPr>
            <w:t xml:space="preserve">      Hospital Policy</w:t>
          </w:r>
          <w:r w:rsidR="00071708">
            <w:rPr>
              <w:rFonts w:eastAsia="Times New Roman"/>
              <w:sz w:val="28"/>
              <w:szCs w:val="28"/>
            </w:rPr>
            <w:t xml:space="preserve"> &amp; CMH Procurement</w:t>
          </w:r>
        </w:p>
        <w:p w:rsidR="00FF02A9" w:rsidRPr="00FF02A9" w:rsidRDefault="00FF02A9" w:rsidP="00FF02A9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</w:p>
      </w:tc>
      <w:tc>
        <w:tcPr>
          <w:tcW w:w="2879" w:type="dxa"/>
        </w:tcPr>
        <w:p w:rsidR="00FF02A9" w:rsidRPr="00FF02A9" w:rsidRDefault="00FF02A9" w:rsidP="00FF02A9">
          <w:pPr>
            <w:tabs>
              <w:tab w:val="center" w:pos="4153"/>
              <w:tab w:val="right" w:pos="8306"/>
            </w:tabs>
            <w:rPr>
              <w:rFonts w:eastAsia="Times New Roman"/>
              <w:sz w:val="28"/>
              <w:szCs w:val="28"/>
            </w:rPr>
          </w:pPr>
          <w:r w:rsidRPr="00FF02A9">
            <w:rPr>
              <w:rFonts w:eastAsia="Times New Roman"/>
              <w:b/>
              <w:sz w:val="28"/>
              <w:szCs w:val="28"/>
            </w:rPr>
            <w:t>Type:</w:t>
          </w:r>
          <w:r w:rsidRPr="00FF02A9">
            <w:rPr>
              <w:rFonts w:eastAsia="Times New Roman"/>
              <w:sz w:val="28"/>
              <w:szCs w:val="28"/>
            </w:rPr>
            <w:t xml:space="preserve">      Policy</w:t>
          </w:r>
        </w:p>
      </w:tc>
    </w:tr>
  </w:tbl>
  <w:p w:rsidR="00FF02A9" w:rsidRPr="00FF02A9" w:rsidRDefault="00FF02A9" w:rsidP="00FF02A9">
    <w:pPr>
      <w:tabs>
        <w:tab w:val="center" w:pos="4153"/>
        <w:tab w:val="right" w:pos="8306"/>
      </w:tabs>
      <w:rPr>
        <w:rFonts w:eastAsia="Times New Roman"/>
        <w:sz w:val="24"/>
        <w:szCs w:val="24"/>
      </w:rPr>
    </w:pPr>
  </w:p>
  <w:p w:rsidR="00C6525C" w:rsidRDefault="00C65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7AF"/>
    <w:multiLevelType w:val="hybridMultilevel"/>
    <w:tmpl w:val="3A0407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8D3F5A"/>
    <w:multiLevelType w:val="hybridMultilevel"/>
    <w:tmpl w:val="64F8FD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76444"/>
    <w:multiLevelType w:val="hybridMultilevel"/>
    <w:tmpl w:val="C10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714"/>
    <w:multiLevelType w:val="hybridMultilevel"/>
    <w:tmpl w:val="33D85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941"/>
    <w:multiLevelType w:val="hybridMultilevel"/>
    <w:tmpl w:val="4A18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6F5"/>
    <w:multiLevelType w:val="hybridMultilevel"/>
    <w:tmpl w:val="5C4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2292"/>
    <w:multiLevelType w:val="hybridMultilevel"/>
    <w:tmpl w:val="FF2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1E52"/>
    <w:multiLevelType w:val="hybridMultilevel"/>
    <w:tmpl w:val="D6C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D1D"/>
    <w:multiLevelType w:val="hybridMultilevel"/>
    <w:tmpl w:val="34F8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3862"/>
    <w:multiLevelType w:val="hybridMultilevel"/>
    <w:tmpl w:val="67B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22C01"/>
    <w:multiLevelType w:val="hybridMultilevel"/>
    <w:tmpl w:val="E04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1835"/>
    <w:multiLevelType w:val="hybridMultilevel"/>
    <w:tmpl w:val="E6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0DF6"/>
    <w:multiLevelType w:val="hybridMultilevel"/>
    <w:tmpl w:val="9F1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46FF"/>
    <w:multiLevelType w:val="hybridMultilevel"/>
    <w:tmpl w:val="EB7A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65775"/>
    <w:multiLevelType w:val="hybridMultilevel"/>
    <w:tmpl w:val="D26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0F7D"/>
    <w:multiLevelType w:val="hybridMultilevel"/>
    <w:tmpl w:val="B8C8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971BE"/>
    <w:multiLevelType w:val="hybridMultilevel"/>
    <w:tmpl w:val="951E132A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7" w15:restartNumberingAfterBreak="0">
    <w:nsid w:val="4DEE6C4B"/>
    <w:multiLevelType w:val="hybridMultilevel"/>
    <w:tmpl w:val="18D87A56"/>
    <w:lvl w:ilvl="0" w:tplc="D9FE66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15D3"/>
    <w:multiLevelType w:val="hybridMultilevel"/>
    <w:tmpl w:val="F85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20477"/>
    <w:multiLevelType w:val="hybridMultilevel"/>
    <w:tmpl w:val="D0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239A7"/>
    <w:multiLevelType w:val="hybridMultilevel"/>
    <w:tmpl w:val="F38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36B86"/>
    <w:multiLevelType w:val="hybridMultilevel"/>
    <w:tmpl w:val="8A2C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949B0"/>
    <w:multiLevelType w:val="hybridMultilevel"/>
    <w:tmpl w:val="5856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07F9D"/>
    <w:multiLevelType w:val="hybridMultilevel"/>
    <w:tmpl w:val="0C44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62D4"/>
    <w:multiLevelType w:val="hybridMultilevel"/>
    <w:tmpl w:val="55A8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93A3D"/>
    <w:multiLevelType w:val="hybridMultilevel"/>
    <w:tmpl w:val="DCC8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F265F"/>
    <w:multiLevelType w:val="hybridMultilevel"/>
    <w:tmpl w:val="44E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6"/>
  </w:num>
  <w:num w:numId="5">
    <w:abstractNumId w:val="21"/>
  </w:num>
  <w:num w:numId="6">
    <w:abstractNumId w:val="25"/>
  </w:num>
  <w:num w:numId="7">
    <w:abstractNumId w:val="7"/>
  </w:num>
  <w:num w:numId="8">
    <w:abstractNumId w:val="19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18"/>
  </w:num>
  <w:num w:numId="16">
    <w:abstractNumId w:val="13"/>
  </w:num>
  <w:num w:numId="17">
    <w:abstractNumId w:val="15"/>
  </w:num>
  <w:num w:numId="18">
    <w:abstractNumId w:val="24"/>
  </w:num>
  <w:num w:numId="19">
    <w:abstractNumId w:val="20"/>
  </w:num>
  <w:num w:numId="20">
    <w:abstractNumId w:val="22"/>
  </w:num>
  <w:num w:numId="21">
    <w:abstractNumId w:val="5"/>
  </w:num>
  <w:num w:numId="22">
    <w:abstractNumId w:val="23"/>
  </w:num>
  <w:num w:numId="23">
    <w:abstractNumId w:val="9"/>
  </w:num>
  <w:num w:numId="24">
    <w:abstractNumId w:val="0"/>
  </w:num>
  <w:num w:numId="25">
    <w:abstractNumId w:val="1"/>
  </w:num>
  <w:num w:numId="26">
    <w:abstractNumId w:val="3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3D"/>
    <w:rsid w:val="00005B37"/>
    <w:rsid w:val="000168FD"/>
    <w:rsid w:val="00021959"/>
    <w:rsid w:val="00022B6E"/>
    <w:rsid w:val="00023618"/>
    <w:rsid w:val="000276AA"/>
    <w:rsid w:val="00037A39"/>
    <w:rsid w:val="00043B85"/>
    <w:rsid w:val="000442A6"/>
    <w:rsid w:val="00044F40"/>
    <w:rsid w:val="000509FC"/>
    <w:rsid w:val="00071708"/>
    <w:rsid w:val="00086394"/>
    <w:rsid w:val="000873E7"/>
    <w:rsid w:val="00090859"/>
    <w:rsid w:val="000A72CC"/>
    <w:rsid w:val="000B2C25"/>
    <w:rsid w:val="000B3F9F"/>
    <w:rsid w:val="000C107A"/>
    <w:rsid w:val="000C514F"/>
    <w:rsid w:val="000E4E18"/>
    <w:rsid w:val="000E5F7F"/>
    <w:rsid w:val="000F01D2"/>
    <w:rsid w:val="000F1F9A"/>
    <w:rsid w:val="000F2D8F"/>
    <w:rsid w:val="000F7CA7"/>
    <w:rsid w:val="00101A87"/>
    <w:rsid w:val="001050D7"/>
    <w:rsid w:val="001069DF"/>
    <w:rsid w:val="00132F8A"/>
    <w:rsid w:val="001406CD"/>
    <w:rsid w:val="00146DDE"/>
    <w:rsid w:val="00163744"/>
    <w:rsid w:val="001654E2"/>
    <w:rsid w:val="00165DAC"/>
    <w:rsid w:val="00183DBF"/>
    <w:rsid w:val="00196D0A"/>
    <w:rsid w:val="001B3559"/>
    <w:rsid w:val="001B614D"/>
    <w:rsid w:val="001C48A6"/>
    <w:rsid w:val="001E1BC5"/>
    <w:rsid w:val="001F522A"/>
    <w:rsid w:val="002069CB"/>
    <w:rsid w:val="002166DF"/>
    <w:rsid w:val="00225606"/>
    <w:rsid w:val="0022771D"/>
    <w:rsid w:val="00230A1C"/>
    <w:rsid w:val="00240155"/>
    <w:rsid w:val="0024099E"/>
    <w:rsid w:val="00244FAD"/>
    <w:rsid w:val="00251C02"/>
    <w:rsid w:val="002534E0"/>
    <w:rsid w:val="002839AB"/>
    <w:rsid w:val="00284858"/>
    <w:rsid w:val="00284A6B"/>
    <w:rsid w:val="002A0586"/>
    <w:rsid w:val="002A1971"/>
    <w:rsid w:val="002A3F4F"/>
    <w:rsid w:val="002A60A2"/>
    <w:rsid w:val="002B3520"/>
    <w:rsid w:val="002B5A41"/>
    <w:rsid w:val="002D1EAD"/>
    <w:rsid w:val="002E42B9"/>
    <w:rsid w:val="00302E8B"/>
    <w:rsid w:val="00310D2F"/>
    <w:rsid w:val="00314276"/>
    <w:rsid w:val="003210C4"/>
    <w:rsid w:val="00344E74"/>
    <w:rsid w:val="00351A35"/>
    <w:rsid w:val="0035290A"/>
    <w:rsid w:val="00352A90"/>
    <w:rsid w:val="003568F8"/>
    <w:rsid w:val="003650E4"/>
    <w:rsid w:val="00380D9B"/>
    <w:rsid w:val="00395DF7"/>
    <w:rsid w:val="003A679E"/>
    <w:rsid w:val="003B1F39"/>
    <w:rsid w:val="003C35D3"/>
    <w:rsid w:val="003D2EAF"/>
    <w:rsid w:val="003F1B9C"/>
    <w:rsid w:val="003F1FF9"/>
    <w:rsid w:val="003F6B22"/>
    <w:rsid w:val="00410DCC"/>
    <w:rsid w:val="004152E3"/>
    <w:rsid w:val="00422FBE"/>
    <w:rsid w:val="0044442D"/>
    <w:rsid w:val="00445BFC"/>
    <w:rsid w:val="0048153C"/>
    <w:rsid w:val="00490D54"/>
    <w:rsid w:val="004964E3"/>
    <w:rsid w:val="004B694B"/>
    <w:rsid w:val="004C1E52"/>
    <w:rsid w:val="004C5FAA"/>
    <w:rsid w:val="004D0339"/>
    <w:rsid w:val="004D2281"/>
    <w:rsid w:val="004E2D1A"/>
    <w:rsid w:val="004E3D94"/>
    <w:rsid w:val="004F6BC5"/>
    <w:rsid w:val="00547244"/>
    <w:rsid w:val="00553B41"/>
    <w:rsid w:val="00560573"/>
    <w:rsid w:val="00560CFC"/>
    <w:rsid w:val="00570F27"/>
    <w:rsid w:val="0058185B"/>
    <w:rsid w:val="00582791"/>
    <w:rsid w:val="00593AF3"/>
    <w:rsid w:val="00595F3E"/>
    <w:rsid w:val="005A47A8"/>
    <w:rsid w:val="005A5389"/>
    <w:rsid w:val="005B22A6"/>
    <w:rsid w:val="005B38E4"/>
    <w:rsid w:val="005B7097"/>
    <w:rsid w:val="005B70DB"/>
    <w:rsid w:val="005B756D"/>
    <w:rsid w:val="005C70DD"/>
    <w:rsid w:val="005F2A9F"/>
    <w:rsid w:val="005F3032"/>
    <w:rsid w:val="005F685B"/>
    <w:rsid w:val="00636722"/>
    <w:rsid w:val="006502FD"/>
    <w:rsid w:val="006757C9"/>
    <w:rsid w:val="00682D6F"/>
    <w:rsid w:val="006877B9"/>
    <w:rsid w:val="006A4D53"/>
    <w:rsid w:val="006B7A14"/>
    <w:rsid w:val="006C63E0"/>
    <w:rsid w:val="006E5BA4"/>
    <w:rsid w:val="00700475"/>
    <w:rsid w:val="007014AA"/>
    <w:rsid w:val="00743EE0"/>
    <w:rsid w:val="00744FD7"/>
    <w:rsid w:val="00760088"/>
    <w:rsid w:val="00765BC8"/>
    <w:rsid w:val="00765D2E"/>
    <w:rsid w:val="00767DA8"/>
    <w:rsid w:val="0077315E"/>
    <w:rsid w:val="00780F79"/>
    <w:rsid w:val="007909BF"/>
    <w:rsid w:val="007956CB"/>
    <w:rsid w:val="007A3F1E"/>
    <w:rsid w:val="007B58C5"/>
    <w:rsid w:val="007D53F4"/>
    <w:rsid w:val="007E2805"/>
    <w:rsid w:val="007E6731"/>
    <w:rsid w:val="0080259F"/>
    <w:rsid w:val="00802F01"/>
    <w:rsid w:val="008212AF"/>
    <w:rsid w:val="00823879"/>
    <w:rsid w:val="008265C2"/>
    <w:rsid w:val="008329DA"/>
    <w:rsid w:val="00834085"/>
    <w:rsid w:val="00874370"/>
    <w:rsid w:val="0087543A"/>
    <w:rsid w:val="00882AF2"/>
    <w:rsid w:val="008874F3"/>
    <w:rsid w:val="00893BE5"/>
    <w:rsid w:val="008A5C4B"/>
    <w:rsid w:val="008A7F63"/>
    <w:rsid w:val="008B0F19"/>
    <w:rsid w:val="008C5EEC"/>
    <w:rsid w:val="00902A33"/>
    <w:rsid w:val="009619CC"/>
    <w:rsid w:val="00973AB2"/>
    <w:rsid w:val="00974A1D"/>
    <w:rsid w:val="009821F9"/>
    <w:rsid w:val="009931AA"/>
    <w:rsid w:val="009B7840"/>
    <w:rsid w:val="009B7B9E"/>
    <w:rsid w:val="009C4F81"/>
    <w:rsid w:val="009E1B52"/>
    <w:rsid w:val="009E6452"/>
    <w:rsid w:val="009F1D14"/>
    <w:rsid w:val="009F4095"/>
    <w:rsid w:val="00A02E5B"/>
    <w:rsid w:val="00A273C1"/>
    <w:rsid w:val="00A277D8"/>
    <w:rsid w:val="00A33499"/>
    <w:rsid w:val="00A34832"/>
    <w:rsid w:val="00A40926"/>
    <w:rsid w:val="00A528C3"/>
    <w:rsid w:val="00A71A54"/>
    <w:rsid w:val="00A92FEA"/>
    <w:rsid w:val="00A976A4"/>
    <w:rsid w:val="00AB3C9B"/>
    <w:rsid w:val="00AC4387"/>
    <w:rsid w:val="00AC59FF"/>
    <w:rsid w:val="00AC7F1D"/>
    <w:rsid w:val="00AD125C"/>
    <w:rsid w:val="00AD36AE"/>
    <w:rsid w:val="00AE080E"/>
    <w:rsid w:val="00B10D01"/>
    <w:rsid w:val="00B345B3"/>
    <w:rsid w:val="00B4092B"/>
    <w:rsid w:val="00B61877"/>
    <w:rsid w:val="00B61E70"/>
    <w:rsid w:val="00B6287A"/>
    <w:rsid w:val="00B64EC8"/>
    <w:rsid w:val="00B70DED"/>
    <w:rsid w:val="00B84E81"/>
    <w:rsid w:val="00B854B3"/>
    <w:rsid w:val="00B911CB"/>
    <w:rsid w:val="00BA3CDB"/>
    <w:rsid w:val="00BA45F3"/>
    <w:rsid w:val="00BC2053"/>
    <w:rsid w:val="00BC3B49"/>
    <w:rsid w:val="00BD13DA"/>
    <w:rsid w:val="00BE0A12"/>
    <w:rsid w:val="00BE3395"/>
    <w:rsid w:val="00BE45F1"/>
    <w:rsid w:val="00BF0638"/>
    <w:rsid w:val="00C1111F"/>
    <w:rsid w:val="00C2591D"/>
    <w:rsid w:val="00C5306E"/>
    <w:rsid w:val="00C6525C"/>
    <w:rsid w:val="00C82212"/>
    <w:rsid w:val="00CA20B7"/>
    <w:rsid w:val="00CA793B"/>
    <w:rsid w:val="00CB040C"/>
    <w:rsid w:val="00CC31FB"/>
    <w:rsid w:val="00CC5309"/>
    <w:rsid w:val="00CC79E5"/>
    <w:rsid w:val="00CF60FC"/>
    <w:rsid w:val="00CF7E3D"/>
    <w:rsid w:val="00D21411"/>
    <w:rsid w:val="00D21D3D"/>
    <w:rsid w:val="00D5001F"/>
    <w:rsid w:val="00D56EA7"/>
    <w:rsid w:val="00D56EF9"/>
    <w:rsid w:val="00D576C2"/>
    <w:rsid w:val="00D738F6"/>
    <w:rsid w:val="00D75314"/>
    <w:rsid w:val="00D90AA3"/>
    <w:rsid w:val="00DA7461"/>
    <w:rsid w:val="00DC60D7"/>
    <w:rsid w:val="00DE0667"/>
    <w:rsid w:val="00DF7033"/>
    <w:rsid w:val="00E0209C"/>
    <w:rsid w:val="00E02317"/>
    <w:rsid w:val="00E21702"/>
    <w:rsid w:val="00E223F3"/>
    <w:rsid w:val="00E262FE"/>
    <w:rsid w:val="00E364D2"/>
    <w:rsid w:val="00E41544"/>
    <w:rsid w:val="00E46CA1"/>
    <w:rsid w:val="00E7528F"/>
    <w:rsid w:val="00E8696F"/>
    <w:rsid w:val="00EC01E8"/>
    <w:rsid w:val="00EC0B57"/>
    <w:rsid w:val="00EC754B"/>
    <w:rsid w:val="00ED53E9"/>
    <w:rsid w:val="00EE3268"/>
    <w:rsid w:val="00EE7DA5"/>
    <w:rsid w:val="00EF5EF7"/>
    <w:rsid w:val="00F0430B"/>
    <w:rsid w:val="00F05D37"/>
    <w:rsid w:val="00F077C8"/>
    <w:rsid w:val="00F21B89"/>
    <w:rsid w:val="00F24327"/>
    <w:rsid w:val="00F326B5"/>
    <w:rsid w:val="00F51F55"/>
    <w:rsid w:val="00F617DD"/>
    <w:rsid w:val="00F63D9A"/>
    <w:rsid w:val="00F649D4"/>
    <w:rsid w:val="00F828F4"/>
    <w:rsid w:val="00FA47C0"/>
    <w:rsid w:val="00FB062D"/>
    <w:rsid w:val="00FB23BB"/>
    <w:rsid w:val="00FC34C8"/>
    <w:rsid w:val="00FD59A6"/>
    <w:rsid w:val="00FF02A9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76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83A7F9"/>
  <w15:docId w15:val="{DAB443A5-E8F1-4AE1-AEDC-8B590B13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3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4A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A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5F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7543A"/>
    <w:rPr>
      <w:rFonts w:ascii="Courier New" w:hAnsi="Courier New"/>
    </w:rPr>
  </w:style>
  <w:style w:type="paragraph" w:styleId="NormalWeb">
    <w:name w:val="Normal (Web)"/>
    <w:basedOn w:val="Normal"/>
    <w:rsid w:val="00E023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rsid w:val="00BE0A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A12"/>
  </w:style>
  <w:style w:type="character" w:customStyle="1" w:styleId="CommentTextChar">
    <w:name w:val="Comment Text Char"/>
    <w:link w:val="CommentText"/>
    <w:rsid w:val="00BE0A1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E0A12"/>
    <w:rPr>
      <w:b/>
      <w:bCs/>
    </w:rPr>
  </w:style>
  <w:style w:type="character" w:customStyle="1" w:styleId="CommentSubjectChar">
    <w:name w:val="Comment Subject Char"/>
    <w:link w:val="CommentSubject"/>
    <w:rsid w:val="00BE0A12"/>
    <w:rPr>
      <w:b/>
      <w:bCs/>
      <w:lang w:val="en-AU"/>
    </w:rPr>
  </w:style>
  <w:style w:type="character" w:styleId="Hyperlink">
    <w:name w:val="Hyperlink"/>
    <w:rsid w:val="000873E7"/>
    <w:rPr>
      <w:color w:val="0000FF"/>
      <w:u w:val="single"/>
    </w:rPr>
  </w:style>
  <w:style w:type="character" w:styleId="FollowedHyperlink">
    <w:name w:val="FollowedHyperlink"/>
    <w:rsid w:val="000873E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58C5"/>
    <w:rPr>
      <w:lang w:eastAsia="en-US"/>
    </w:rPr>
  </w:style>
  <w:style w:type="paragraph" w:customStyle="1" w:styleId="Footer2">
    <w:name w:val="Footer 2"/>
    <w:basedOn w:val="Footer"/>
    <w:rsid w:val="007B58C5"/>
    <w:pPr>
      <w:tabs>
        <w:tab w:val="clear" w:pos="4153"/>
        <w:tab w:val="clear" w:pos="8306"/>
      </w:tabs>
      <w:spacing w:before="40" w:after="40"/>
      <w:jc w:val="center"/>
    </w:pPr>
    <w:rPr>
      <w:rFonts w:ascii="Arial" w:eastAsia="Times New Roman" w:hAnsi="Arial"/>
      <w:iCs/>
      <w:color w:val="999999"/>
      <w:sz w:val="16"/>
    </w:rPr>
  </w:style>
  <w:style w:type="paragraph" w:styleId="ListParagraph">
    <w:name w:val="List Paragraph"/>
    <w:basedOn w:val="Normal"/>
    <w:uiPriority w:val="34"/>
    <w:qFormat/>
    <w:rsid w:val="007B58C5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7BD2-F66A-4334-ACB0-7E016C43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bashcorp</Company>
  <LinksUpToDate>false</LinksUpToDate>
  <CharactersWithSpaces>6988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http://www.hpv.org.au/resources/health-purchasing-policies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 Basham</dc:creator>
  <cp:lastModifiedBy>Loren Hulm</cp:lastModifiedBy>
  <cp:revision>2</cp:revision>
  <cp:lastPrinted>2018-04-24T06:10:00Z</cp:lastPrinted>
  <dcterms:created xsi:type="dcterms:W3CDTF">2022-04-01T03:37:00Z</dcterms:created>
  <dcterms:modified xsi:type="dcterms:W3CDTF">2022-04-01T03:37:00Z</dcterms:modified>
</cp:coreProperties>
</file>