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879"/>
      </w:tblGrid>
      <w:tr w:rsidR="009A2471" w:rsidTr="007861CC">
        <w:trPr>
          <w:trHeight w:val="1428"/>
        </w:trPr>
        <w:tc>
          <w:tcPr>
            <w:tcW w:w="9286" w:type="dxa"/>
            <w:gridSpan w:val="2"/>
          </w:tcPr>
          <w:p w:rsidR="009A2471" w:rsidRDefault="009A2471" w:rsidP="007861CC">
            <w:pPr>
              <w:pStyle w:val="Header"/>
            </w:pPr>
          </w:p>
          <w:p w:rsidR="009A2471" w:rsidRDefault="009A2471" w:rsidP="007861CC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-1211580</wp:posOffset>
                  </wp:positionH>
                  <wp:positionV relativeFrom="paragraph">
                    <wp:posOffset>-175260</wp:posOffset>
                  </wp:positionV>
                  <wp:extent cx="1097280" cy="901065"/>
                  <wp:effectExtent l="0" t="0" r="7620" b="0"/>
                  <wp:wrapTight wrapText="bothSides">
                    <wp:wrapPolygon edited="0">
                      <wp:start x="0" y="0"/>
                      <wp:lineTo x="0" y="21006"/>
                      <wp:lineTo x="21375" y="21006"/>
                      <wp:lineTo x="21375" y="0"/>
                      <wp:lineTo x="0" y="0"/>
                    </wp:wrapPolygon>
                  </wp:wrapTight>
                  <wp:docPr id="2" name="Picture 2" descr="CMH_logo Low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H_logo Low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Casterton </w:t>
            </w:r>
            <w:smartTag w:uri="urn:schemas-microsoft-com:office:smarttags" w:element="PlaceName">
              <w:r>
                <w:rPr>
                  <w:sz w:val="40"/>
                  <w:szCs w:val="40"/>
                </w:rPr>
                <w:t>Memorial</w:t>
              </w:r>
            </w:smartTag>
            <w:r>
              <w:rPr>
                <w:sz w:val="40"/>
                <w:szCs w:val="40"/>
              </w:rPr>
              <w:t xml:space="preserve"> Hospital</w:t>
            </w:r>
          </w:p>
        </w:tc>
      </w:tr>
      <w:tr w:rsidR="009A2471" w:rsidTr="007861CC">
        <w:trPr>
          <w:trHeight w:val="303"/>
        </w:trPr>
        <w:tc>
          <w:tcPr>
            <w:tcW w:w="9286" w:type="dxa"/>
            <w:gridSpan w:val="2"/>
          </w:tcPr>
          <w:p w:rsidR="009A2471" w:rsidRPr="00580F77" w:rsidRDefault="009A2471" w:rsidP="007861CC">
            <w:pPr>
              <w:pStyle w:val="Header"/>
              <w:rPr>
                <w:b/>
                <w:sz w:val="32"/>
                <w:szCs w:val="32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Title: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32"/>
                <w:szCs w:val="32"/>
              </w:rPr>
              <w:t>Procurement Activity Plan</w:t>
            </w:r>
          </w:p>
          <w:p w:rsidR="009A2471" w:rsidRDefault="009A2471" w:rsidP="007861CC">
            <w:pPr>
              <w:pStyle w:val="Header"/>
              <w:rPr>
                <w:sz w:val="28"/>
                <w:szCs w:val="28"/>
              </w:rPr>
            </w:pPr>
          </w:p>
        </w:tc>
      </w:tr>
      <w:tr w:rsidR="009A2471" w:rsidTr="009A2471">
        <w:trPr>
          <w:trHeight w:val="341"/>
        </w:trPr>
        <w:tc>
          <w:tcPr>
            <w:tcW w:w="6407" w:type="dxa"/>
            <w:vAlign w:val="center"/>
          </w:tcPr>
          <w:p w:rsidR="009A2471" w:rsidRDefault="009A2471" w:rsidP="009A2471">
            <w:pPr>
              <w:pStyle w:val="Header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Manual:</w:t>
            </w:r>
            <w:r>
              <w:rPr>
                <w:sz w:val="28"/>
                <w:szCs w:val="28"/>
              </w:rPr>
              <w:t xml:space="preserve">      Hospital Policy</w:t>
            </w:r>
          </w:p>
          <w:p w:rsidR="009A2471" w:rsidRDefault="009A2471" w:rsidP="009A2471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9A2471" w:rsidRDefault="009A2471" w:rsidP="009A2471">
            <w:pPr>
              <w:pStyle w:val="Head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Type:</w:t>
            </w:r>
            <w:r>
              <w:rPr>
                <w:sz w:val="28"/>
                <w:szCs w:val="28"/>
              </w:rPr>
              <w:t xml:space="preserve">      Policy</w:t>
            </w:r>
          </w:p>
        </w:tc>
      </w:tr>
    </w:tbl>
    <w:p w:rsidR="00A85209" w:rsidRDefault="00A8520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9A2471" w:rsidRDefault="009A2471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7B36AF" w:rsidRP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  <w:r w:rsidRPr="007B36AF">
        <w:rPr>
          <w:rFonts w:asciiTheme="minorHAnsi" w:hAnsiTheme="minorHAnsi" w:cstheme="minorHAnsi"/>
          <w:b/>
          <w:color w:val="51535C"/>
          <w:szCs w:val="20"/>
          <w:lang w:val="en"/>
        </w:rPr>
        <w:t xml:space="preserve">Procurement Activity Plan </w:t>
      </w:r>
      <w:r w:rsidR="008F0853">
        <w:rPr>
          <w:rFonts w:asciiTheme="minorHAnsi" w:hAnsiTheme="minorHAnsi" w:cstheme="minorHAnsi"/>
          <w:b/>
          <w:color w:val="51535C"/>
          <w:szCs w:val="20"/>
          <w:lang w:val="en"/>
        </w:rPr>
        <w:t>2018/19</w:t>
      </w:r>
    </w:p>
    <w:p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51535C"/>
          <w:sz w:val="20"/>
          <w:szCs w:val="20"/>
          <w:lang w:val="en"/>
        </w:rPr>
      </w:pPr>
    </w:p>
    <w:p w:rsidR="007B36AF" w:rsidRPr="00A85209" w:rsidRDefault="00E61FB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Casterton M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 xml:space="preserve">emorial </w:t>
      </w:r>
      <w:r w:rsidR="003C1A42">
        <w:rPr>
          <w:rFonts w:asciiTheme="minorHAnsi" w:hAnsiTheme="minorHAnsi" w:cstheme="minorHAnsi"/>
          <w:sz w:val="20"/>
          <w:szCs w:val="20"/>
          <w:lang w:val="en"/>
        </w:rPr>
        <w:t>Hospital</w:t>
      </w:r>
      <w:r w:rsidR="00A8520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is</w:t>
      </w:r>
      <w:r w:rsidR="007B36AF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looking to develop long term partnerships with suppliers that are adaptable and innovative, who take accountability, and who can help deliver real and lasting value.</w:t>
      </w: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To effectively and efficiently procure goods and services across the organisation to obtain the best value for money and economies of scale, 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>Casterton Memorial Hospital’s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procurement activity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 xml:space="preserve">plan 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is aligned to its priorities and strategies.</w:t>
      </w:r>
    </w:p>
    <w:p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>When sourcing goods and services from the market,</w:t>
      </w:r>
      <w:r w:rsidR="00A8520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>Casterton Memorial Hospital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E61FB5">
        <w:rPr>
          <w:rFonts w:asciiTheme="minorHAnsi" w:hAnsiTheme="minorHAnsi" w:cstheme="minorHAnsi"/>
          <w:sz w:val="20"/>
          <w:szCs w:val="20"/>
          <w:lang w:val="en"/>
        </w:rPr>
        <w:t>is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committed to open, fair, and transparent sourcing processes.</w:t>
      </w: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This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>Procurement Activity P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lan provides a summary of the major procurement activities in the non-salary area of organisational expenditure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and provides 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potential suppliers advance knowledge of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anticipated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procurements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activity over the next 12-18 months.</w:t>
      </w:r>
    </w:p>
    <w:p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The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>Procurement Activity Plan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will be reviewed and updated 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>as required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, based on the best information available at the time of publication.</w:t>
      </w:r>
    </w:p>
    <w:p w:rsidR="004E40C5" w:rsidRPr="00A85209" w:rsidRDefault="004E40C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W w:w="10490" w:type="dxa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2126"/>
        <w:gridCol w:w="1276"/>
      </w:tblGrid>
      <w:tr w:rsidR="00823984" w:rsidRPr="00823984" w:rsidTr="00665AC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823984" w:rsidRPr="00665ACE" w:rsidTr="008B1201">
        <w:trPr>
          <w:trHeight w:val="638"/>
        </w:trPr>
        <w:tc>
          <w:tcPr>
            <w:tcW w:w="2694" w:type="dxa"/>
            <w:shd w:val="clear" w:color="auto" w:fill="0070C0"/>
            <w:noWrap/>
            <w:vAlign w:val="center"/>
            <w:hideMark/>
          </w:tcPr>
          <w:p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Category</w:t>
            </w:r>
          </w:p>
        </w:tc>
        <w:tc>
          <w:tcPr>
            <w:tcW w:w="4394" w:type="dxa"/>
            <w:shd w:val="clear" w:color="auto" w:fill="0070C0"/>
            <w:noWrap/>
            <w:vAlign w:val="center"/>
            <w:hideMark/>
          </w:tcPr>
          <w:p w:rsidR="00823984" w:rsidRPr="00F5032F" w:rsidRDefault="00E21155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Description</w:t>
            </w:r>
          </w:p>
        </w:tc>
        <w:tc>
          <w:tcPr>
            <w:tcW w:w="2126" w:type="dxa"/>
            <w:shd w:val="clear" w:color="auto" w:fill="0070C0"/>
            <w:noWrap/>
            <w:vAlign w:val="center"/>
            <w:hideMark/>
          </w:tcPr>
          <w:p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Contact Person</w:t>
            </w:r>
          </w:p>
        </w:tc>
        <w:tc>
          <w:tcPr>
            <w:tcW w:w="1276" w:type="dxa"/>
            <w:shd w:val="clear" w:color="auto" w:fill="0070C0"/>
            <w:noWrap/>
            <w:vAlign w:val="center"/>
            <w:hideMark/>
          </w:tcPr>
          <w:p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Estimated Quarter</w:t>
            </w: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21155" w:rsidRPr="00823984" w:rsidRDefault="00C47FC2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Facilities Management</w:t>
            </w:r>
            <w:r w:rsidR="003C1A42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&amp; Maintenance contracts</w:t>
            </w: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Fire Prevention Services</w:t>
            </w:r>
          </w:p>
          <w:p w:rsidR="00A723E4" w:rsidRPr="00823984" w:rsidRDefault="00A723E4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Fire Sprinkler System installation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4B4A3D" w:rsidRDefault="004B4A3D" w:rsidP="004B4A3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B120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Grease-Trap Servicing</w:t>
            </w:r>
          </w:p>
          <w:p w:rsidR="00501673" w:rsidRPr="008B1201" w:rsidRDefault="00501673" w:rsidP="004B4A3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B120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Boiler</w:t>
            </w:r>
            <w:r w:rsidR="00A723E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/hot water</w:t>
            </w:r>
            <w:r w:rsidRPr="008B120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 Replacement</w:t>
            </w:r>
          </w:p>
          <w:p w:rsidR="00A85209" w:rsidRPr="00823984" w:rsidRDefault="00A723E4" w:rsidP="00A723E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Internal/External construction  works</w:t>
            </w:r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Non-clinical Support Services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Legal Services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665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C47FC2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Internal Audit Program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Printing Services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Marketing &amp; Advertising Services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A85209" w:rsidRPr="00823984" w:rsidRDefault="00A85209" w:rsidP="00C47F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Default="00942E3F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Medical</w:t>
            </w:r>
            <w:r w:rsidR="00A852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CF5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Consumable </w:t>
            </w:r>
            <w:r w:rsidR="00E21155"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and </w:t>
            </w:r>
            <w:r w:rsidR="00E21155"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Supplies</w:t>
            </w:r>
          </w:p>
          <w:p w:rsidR="00A85209" w:rsidRPr="00823984" w:rsidRDefault="00A85209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Meat &amp; Poultry Products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bottom w:val="nil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665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Fresh Fruits &amp; Vegetables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A85209" w:rsidRPr="00823984" w:rsidRDefault="003C1A42" w:rsidP="00C47F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Continence Products</w:t>
            </w:r>
          </w:p>
        </w:tc>
        <w:tc>
          <w:tcPr>
            <w:tcW w:w="2126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Equipment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665ACE">
            <w:pPr>
              <w:spacing w:after="0" w:line="240" w:lineRule="auto"/>
              <w:ind w:left="176" w:firstLine="142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3C1A42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Electronic chairs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Patient Beds &amp; Mattresses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42E3F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Sterilisation Equipment Maintenance</w:t>
            </w:r>
          </w:p>
          <w:p w:rsidR="00942E3F" w:rsidRPr="00823984" w:rsidRDefault="00942E3F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</w:tbl>
    <w:p w:rsidR="003C1A42" w:rsidRDefault="003C1A42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</w:p>
    <w:p w:rsidR="00851D5E" w:rsidRPr="00942E3F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  <w:r w:rsidRPr="00942E3F">
        <w:rPr>
          <w:rFonts w:asciiTheme="minorHAnsi" w:hAnsiTheme="minorHAnsi" w:cstheme="minorHAnsi"/>
          <w:b/>
          <w:caps/>
          <w:sz w:val="20"/>
          <w:szCs w:val="20"/>
          <w:lang w:val="en"/>
        </w:rPr>
        <w:t>Disclaimer:</w:t>
      </w:r>
    </w:p>
    <w:p w:rsidR="00851D5E" w:rsidRPr="00942E3F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</w:p>
    <w:p w:rsidR="004F6329" w:rsidRDefault="004F6329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942E3F">
        <w:rPr>
          <w:rFonts w:asciiTheme="minorHAnsi" w:hAnsiTheme="minorHAnsi" w:cstheme="minorHAnsi"/>
          <w:sz w:val="20"/>
          <w:szCs w:val="20"/>
          <w:lang w:val="en"/>
        </w:rPr>
        <w:t xml:space="preserve">The information in this Procurement Activity Plan is provided for planning purposes only and it does not present a solicitation or constitute a request for proposal, nor is it a commitment by </w:t>
      </w:r>
      <w:r w:rsidR="003C1A42">
        <w:rPr>
          <w:rFonts w:asciiTheme="minorHAnsi" w:hAnsiTheme="minorHAnsi" w:cstheme="minorHAnsi"/>
          <w:sz w:val="20"/>
          <w:szCs w:val="20"/>
          <w:lang w:val="en"/>
        </w:rPr>
        <w:t>Casterton Memorial Hospital</w:t>
      </w:r>
      <w:r w:rsidRPr="00942E3F">
        <w:rPr>
          <w:rFonts w:asciiTheme="minorHAnsi" w:hAnsiTheme="minorHAnsi" w:cstheme="minorHAnsi"/>
          <w:sz w:val="20"/>
          <w:szCs w:val="20"/>
          <w:lang w:val="en"/>
        </w:rPr>
        <w:t xml:space="preserve"> to purchase the described goods or services. There is no obligation to respond to or return any unsolicited bids received.</w:t>
      </w:r>
    </w:p>
    <w:p w:rsidR="00987620" w:rsidRDefault="0098762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987620" w:rsidRPr="00942E3F" w:rsidRDefault="008F0853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Updated December 2018</w:t>
      </w:r>
      <w:bookmarkStart w:id="0" w:name="_GoBack"/>
      <w:bookmarkEnd w:id="0"/>
    </w:p>
    <w:sectPr w:rsidR="00987620" w:rsidRPr="00942E3F" w:rsidSect="008B1201"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4"/>
    <w:rsid w:val="003C1A42"/>
    <w:rsid w:val="003F5B52"/>
    <w:rsid w:val="00425289"/>
    <w:rsid w:val="00484CB8"/>
    <w:rsid w:val="004878AC"/>
    <w:rsid w:val="004B4A3D"/>
    <w:rsid w:val="004D613A"/>
    <w:rsid w:val="004E40C5"/>
    <w:rsid w:val="004F6329"/>
    <w:rsid w:val="00501673"/>
    <w:rsid w:val="00554BDF"/>
    <w:rsid w:val="005C1843"/>
    <w:rsid w:val="00665ACE"/>
    <w:rsid w:val="006D6B5C"/>
    <w:rsid w:val="007B36AF"/>
    <w:rsid w:val="00823984"/>
    <w:rsid w:val="008452A2"/>
    <w:rsid w:val="00851D5E"/>
    <w:rsid w:val="008953CF"/>
    <w:rsid w:val="008B1201"/>
    <w:rsid w:val="008F0853"/>
    <w:rsid w:val="00931A7F"/>
    <w:rsid w:val="00942E3F"/>
    <w:rsid w:val="00987620"/>
    <w:rsid w:val="009A2471"/>
    <w:rsid w:val="00A723E4"/>
    <w:rsid w:val="00A85209"/>
    <w:rsid w:val="00B24CB9"/>
    <w:rsid w:val="00B56FC6"/>
    <w:rsid w:val="00BF635C"/>
    <w:rsid w:val="00C37A17"/>
    <w:rsid w:val="00C47FC2"/>
    <w:rsid w:val="00CF5904"/>
    <w:rsid w:val="00E21155"/>
    <w:rsid w:val="00E61FB5"/>
    <w:rsid w:val="00E83294"/>
    <w:rsid w:val="00EB1550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993A72-ADC5-447B-8C2E-066BFD9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4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Purchasing Victoria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Lacchiana</dc:creator>
  <cp:lastModifiedBy>Loren Hulm</cp:lastModifiedBy>
  <cp:revision>2</cp:revision>
  <cp:lastPrinted>2017-12-21T05:30:00Z</cp:lastPrinted>
  <dcterms:created xsi:type="dcterms:W3CDTF">2019-02-11T02:29:00Z</dcterms:created>
  <dcterms:modified xsi:type="dcterms:W3CDTF">2019-02-11T02:29:00Z</dcterms:modified>
</cp:coreProperties>
</file>