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879"/>
      </w:tblGrid>
      <w:tr w:rsidR="009A2471" w:rsidTr="007861CC">
        <w:trPr>
          <w:trHeight w:val="1428"/>
        </w:trPr>
        <w:tc>
          <w:tcPr>
            <w:tcW w:w="9286" w:type="dxa"/>
            <w:gridSpan w:val="2"/>
          </w:tcPr>
          <w:p w:rsidR="009A2471" w:rsidRDefault="009A2471" w:rsidP="007861CC">
            <w:pPr>
              <w:pStyle w:val="Header"/>
            </w:pPr>
          </w:p>
          <w:p w:rsidR="009A2471" w:rsidRDefault="009A2471" w:rsidP="007861CC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-1211580</wp:posOffset>
                  </wp:positionH>
                  <wp:positionV relativeFrom="paragraph">
                    <wp:posOffset>-175260</wp:posOffset>
                  </wp:positionV>
                  <wp:extent cx="1097280" cy="901065"/>
                  <wp:effectExtent l="0" t="0" r="7620" b="0"/>
                  <wp:wrapTight wrapText="bothSides">
                    <wp:wrapPolygon edited="0">
                      <wp:start x="0" y="0"/>
                      <wp:lineTo x="0" y="21006"/>
                      <wp:lineTo x="21375" y="21006"/>
                      <wp:lineTo x="21375" y="0"/>
                      <wp:lineTo x="0" y="0"/>
                    </wp:wrapPolygon>
                  </wp:wrapTight>
                  <wp:docPr id="2" name="Picture 2" descr="CMH_logo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H_logo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Casterton </w:t>
            </w:r>
            <w:smartTag w:uri="urn:schemas-microsoft-com:office:smarttags" w:element="PlaceName">
              <w:r>
                <w:rPr>
                  <w:sz w:val="40"/>
                  <w:szCs w:val="40"/>
                </w:rPr>
                <w:t>Memorial</w:t>
              </w:r>
            </w:smartTag>
            <w:r>
              <w:rPr>
                <w:sz w:val="40"/>
                <w:szCs w:val="40"/>
              </w:rPr>
              <w:t xml:space="preserve"> Hospital</w:t>
            </w:r>
          </w:p>
        </w:tc>
      </w:tr>
      <w:tr w:rsidR="009A2471" w:rsidTr="007861CC">
        <w:trPr>
          <w:trHeight w:val="303"/>
        </w:trPr>
        <w:tc>
          <w:tcPr>
            <w:tcW w:w="9286" w:type="dxa"/>
            <w:gridSpan w:val="2"/>
          </w:tcPr>
          <w:p w:rsidR="009A2471" w:rsidRPr="00580F77" w:rsidRDefault="009A2471" w:rsidP="007861CC">
            <w:pPr>
              <w:pStyle w:val="Header"/>
              <w:rPr>
                <w:b/>
                <w:sz w:val="32"/>
                <w:szCs w:val="32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Title: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32"/>
                <w:szCs w:val="32"/>
              </w:rPr>
              <w:t>Procurement Activity Plan</w:t>
            </w:r>
          </w:p>
          <w:p w:rsidR="009A2471" w:rsidRDefault="009A2471" w:rsidP="007861CC">
            <w:pPr>
              <w:pStyle w:val="Header"/>
              <w:rPr>
                <w:sz w:val="28"/>
                <w:szCs w:val="28"/>
              </w:rPr>
            </w:pPr>
          </w:p>
        </w:tc>
      </w:tr>
      <w:tr w:rsidR="009A2471" w:rsidTr="009A2471">
        <w:trPr>
          <w:trHeight w:val="341"/>
        </w:trPr>
        <w:tc>
          <w:tcPr>
            <w:tcW w:w="6407" w:type="dxa"/>
            <w:vAlign w:val="center"/>
          </w:tcPr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Manual:</w:t>
            </w:r>
            <w:r>
              <w:rPr>
                <w:sz w:val="28"/>
                <w:szCs w:val="28"/>
              </w:rPr>
              <w:t xml:space="preserve">      Hospital Policy</w:t>
            </w:r>
          </w:p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Type:</w:t>
            </w:r>
            <w:r>
              <w:rPr>
                <w:sz w:val="28"/>
                <w:szCs w:val="28"/>
              </w:rPr>
              <w:t xml:space="preserve">      Policy</w:t>
            </w:r>
          </w:p>
        </w:tc>
      </w:tr>
    </w:tbl>
    <w:p w:rsidR="00A85209" w:rsidRDefault="00A8520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7B36AF" w:rsidRP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  <w:r w:rsidRPr="007B36AF">
        <w:rPr>
          <w:rFonts w:asciiTheme="minorHAnsi" w:hAnsiTheme="minorHAnsi" w:cstheme="minorHAnsi"/>
          <w:b/>
          <w:color w:val="51535C"/>
          <w:szCs w:val="20"/>
          <w:lang w:val="en"/>
        </w:rPr>
        <w:t xml:space="preserve">Procurement Activity Plan </w:t>
      </w:r>
      <w:r w:rsidR="00A9718E">
        <w:rPr>
          <w:rFonts w:asciiTheme="minorHAnsi" w:hAnsiTheme="minorHAnsi" w:cstheme="minorHAnsi"/>
          <w:b/>
          <w:color w:val="51535C"/>
          <w:szCs w:val="20"/>
          <w:lang w:val="en"/>
        </w:rPr>
        <w:t>2021/2022</w:t>
      </w:r>
    </w:p>
    <w:p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51535C"/>
          <w:sz w:val="20"/>
          <w:szCs w:val="20"/>
          <w:lang w:val="en"/>
        </w:rPr>
      </w:pPr>
    </w:p>
    <w:p w:rsidR="007B36AF" w:rsidRPr="00A85209" w:rsidRDefault="00E61FB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Casterton M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 xml:space="preserve">emorial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Hospital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is</w:t>
      </w:r>
      <w:r w:rsidR="007B36AF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looking to develop long term partnerships with suppliers that are adaptable and innovative, who take accountability, and who can help deliver real and lasting value.</w:t>
      </w: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To effectively and efficiently procure goods and services across the organisation to obtain the best value for money and economies of scale,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Hospital’s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 activity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 xml:space="preserve">plan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is aligned to its priorities and strategies.</w:t>
      </w: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>When sourcing goods and services from the market,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E61FB5">
        <w:rPr>
          <w:rFonts w:asciiTheme="minorHAnsi" w:hAnsiTheme="minorHAnsi" w:cstheme="minorHAnsi"/>
          <w:sz w:val="20"/>
          <w:szCs w:val="20"/>
          <w:lang w:val="en"/>
        </w:rPr>
        <w:t>is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committed to open, fair, and transparent sourcing processes.</w:t>
      </w: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This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and provides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potential suppliers advance knowledge of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anticipated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procurements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activity over the next 12-18 months.</w:t>
      </w:r>
    </w:p>
    <w:p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Plan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will be reviewed and updated 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>as required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, based on the best information available at the time of publication.</w:t>
      </w:r>
    </w:p>
    <w:p w:rsidR="004E40C5" w:rsidRPr="00A85209" w:rsidRDefault="004E40C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W w:w="10490" w:type="dxa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126"/>
        <w:gridCol w:w="1276"/>
      </w:tblGrid>
      <w:tr w:rsidR="00823984" w:rsidRPr="00823984" w:rsidTr="00665AC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823984" w:rsidRPr="00665ACE" w:rsidTr="008B1201">
        <w:trPr>
          <w:trHeight w:val="638"/>
        </w:trPr>
        <w:tc>
          <w:tcPr>
            <w:tcW w:w="2694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4394" w:type="dxa"/>
            <w:shd w:val="clear" w:color="auto" w:fill="0070C0"/>
            <w:noWrap/>
            <w:vAlign w:val="center"/>
            <w:hideMark/>
          </w:tcPr>
          <w:p w:rsidR="00823984" w:rsidRPr="00F5032F" w:rsidRDefault="00E21155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Description</w:t>
            </w:r>
          </w:p>
        </w:tc>
        <w:tc>
          <w:tcPr>
            <w:tcW w:w="2126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Contact Person</w:t>
            </w:r>
          </w:p>
        </w:tc>
        <w:tc>
          <w:tcPr>
            <w:tcW w:w="1276" w:type="dxa"/>
            <w:shd w:val="clear" w:color="auto" w:fill="0070C0"/>
            <w:noWrap/>
            <w:vAlign w:val="center"/>
            <w:hideMark/>
          </w:tcPr>
          <w:p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Estimated Quarter</w:t>
            </w:r>
          </w:p>
        </w:tc>
      </w:tr>
      <w:tr w:rsidR="00E21155" w:rsidRPr="00665ACE" w:rsidTr="005408EC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21155" w:rsidRPr="00823984" w:rsidRDefault="00C47FC2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Facilities Management</w:t>
            </w:r>
            <w:r w:rsidR="003C1A42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&amp; Maintenance contracts</w:t>
            </w: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A723E4" w:rsidRPr="00823984" w:rsidRDefault="005408EC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Aquatherm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water pipe replacement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21155" w:rsidRPr="00823984" w:rsidRDefault="005408EC" w:rsidP="005408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Q4 21/22</w:t>
            </w:r>
          </w:p>
        </w:tc>
      </w:tr>
      <w:tr w:rsidR="00E21155" w:rsidRPr="00665ACE" w:rsidTr="00836CFE">
        <w:trPr>
          <w:trHeight w:val="405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A85209" w:rsidRPr="00823984" w:rsidRDefault="00A723E4" w:rsidP="00A723E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Internal/External construction  works</w:t>
            </w: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Services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Legal Services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E21155" w:rsidRPr="00823984" w:rsidRDefault="00080BA4" w:rsidP="00665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Q2 21/22</w:t>
            </w: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Pr="00823984" w:rsidRDefault="005408EC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Printing Services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E21155" w:rsidRDefault="005408EC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Marketing &amp; Advertising Services</w:t>
            </w:r>
          </w:p>
          <w:p w:rsidR="00BB2001" w:rsidRPr="00823984" w:rsidRDefault="00BB2001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Audio Visual Equipment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080BA4" w:rsidRPr="00665ACE" w:rsidTr="003A085A">
        <w:trPr>
          <w:trHeight w:val="574"/>
        </w:trPr>
        <w:tc>
          <w:tcPr>
            <w:tcW w:w="2694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:rsidR="00080BA4" w:rsidRDefault="00080BA4" w:rsidP="003A0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 Clinical Support Supplies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:rsidR="00080BA4" w:rsidRDefault="00080BA4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Meat &amp; Poultry Products</w:t>
            </w:r>
          </w:p>
          <w:p w:rsidR="00080BA4" w:rsidRPr="00823984" w:rsidRDefault="00080BA4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Fresh Fruits &amp; Vegetables</w:t>
            </w:r>
          </w:p>
        </w:tc>
        <w:tc>
          <w:tcPr>
            <w:tcW w:w="2126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:rsidR="00080BA4" w:rsidRDefault="0097067E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CSO</w:t>
            </w:r>
          </w:p>
        </w:tc>
        <w:tc>
          <w:tcPr>
            <w:tcW w:w="1276" w:type="dxa"/>
            <w:tcBorders>
              <w:top w:val="single" w:sz="12" w:space="0" w:color="0070C0"/>
              <w:bottom w:val="nil"/>
            </w:tcBorders>
            <w:shd w:val="clear" w:color="auto" w:fill="auto"/>
            <w:noWrap/>
            <w:vAlign w:val="center"/>
          </w:tcPr>
          <w:p w:rsidR="00080BA4" w:rsidRPr="00823984" w:rsidRDefault="0097067E" w:rsidP="003A08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Q4 21/22</w:t>
            </w: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836C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Medical Equipment Servicing &amp; Maintenance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080BA4" w:rsidRPr="00823984" w:rsidRDefault="0097067E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Servicing of Lifting Equipment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bottom w:val="nil"/>
            </w:tcBorders>
            <w:shd w:val="clear" w:color="auto" w:fill="auto"/>
            <w:noWrap/>
            <w:vAlign w:val="center"/>
            <w:hideMark/>
          </w:tcPr>
          <w:p w:rsidR="00080BA4" w:rsidRPr="00823984" w:rsidRDefault="003A085A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Q2 21/22</w:t>
            </w: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080BA4" w:rsidRPr="00823984" w:rsidRDefault="0097067E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Servicing of Pan Washers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080BA4" w:rsidRPr="00665ACE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Equipment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Anaesthetic Machine &amp; Monitor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Q3 21/22</w:t>
            </w: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Xray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Equipment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Pan Washers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080BA4" w:rsidRPr="00665ACE" w:rsidTr="00080BA4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Colonoscope</w:t>
            </w:r>
            <w:proofErr w:type="spellEnd"/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:rsidR="003C1A42" w:rsidRDefault="003C1A42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  <w:r w:rsidRPr="00942E3F">
        <w:rPr>
          <w:rFonts w:asciiTheme="minorHAnsi" w:hAnsiTheme="minorHAnsi" w:cstheme="minorHAnsi"/>
          <w:b/>
          <w:caps/>
          <w:sz w:val="20"/>
          <w:szCs w:val="20"/>
          <w:lang w:val="en"/>
        </w:rPr>
        <w:t>Disclaimer:</w:t>
      </w:r>
    </w:p>
    <w:p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:rsidR="004F6329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All planned procurement activities are subject to revision or cancellation. 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>The information in this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annual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 xml:space="preserve"> Procurement Activity Plan is provided for planning purposes only and it does not present a solicitation or constitute a request for proposal, nor is it a commitment by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 xml:space="preserve"> to purchase the described goods or services. There is no obligation to respond to or return any unsolicited bids received.</w:t>
      </w:r>
    </w:p>
    <w:p w:rsidR="00987620" w:rsidRDefault="0098762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val="en"/>
        </w:rPr>
        <w:lastRenderedPageBreak/>
        <w:t>SUPPLIERS TO NOTE:</w:t>
      </w:r>
    </w:p>
    <w:p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Casterton Memorial Hospital strongly support the Victorian Government’s initiatives in Social Procurement Framework, Local Jobs First, Supplier Code of Conduct and the Federal Government’s Modern Slavery Act.</w:t>
      </w:r>
    </w:p>
    <w:p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Suppliers </w:t>
      </w:r>
      <w:r w:rsidR="003A085A">
        <w:rPr>
          <w:rFonts w:asciiTheme="minorHAnsi" w:hAnsiTheme="minorHAnsi" w:cstheme="minorHAnsi"/>
          <w:sz w:val="20"/>
          <w:szCs w:val="20"/>
          <w:lang w:val="en"/>
        </w:rPr>
        <w:t>are encouraged to make themselves familiar with these requirements when considering to submit tenders / quotes for any of the above procurement activities. Further information can be found at:</w:t>
      </w: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Social Procurement Framework: </w:t>
      </w:r>
      <w:hyperlink r:id="rId5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https://www.buyingfor.vic.gov.au/social-procurement-framework-and-guides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Local Jobs First: </w:t>
      </w:r>
      <w:hyperlink r:id="rId6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https://www.buyingfor.vic.gov.au/local-jobs-first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Supplier Code of Conduct: </w:t>
      </w:r>
      <w:hyperlink r:id="rId7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https://www.buyingfor.vic.gov.au/supplier-code-conduct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:rsidR="003A085A" w:rsidRPr="00A9718E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Modern Slavery Act: </w:t>
      </w:r>
      <w:hyperlink r:id="rId8" w:history="1">
        <w:r w:rsidR="00836CFE"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https://www/homeaffairs.gov.au/criminal-justice/files/files/mordern-slavery-reporting-entities.pdf</w:t>
        </w:r>
      </w:hyperlink>
      <w:r w:rsidR="00836CFE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sectPr w:rsidR="003A085A" w:rsidRPr="00A9718E" w:rsidSect="008B1201"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4"/>
    <w:rsid w:val="00080BA4"/>
    <w:rsid w:val="003A085A"/>
    <w:rsid w:val="003C1A42"/>
    <w:rsid w:val="003F5B52"/>
    <w:rsid w:val="00425289"/>
    <w:rsid w:val="00484CB8"/>
    <w:rsid w:val="004878AC"/>
    <w:rsid w:val="004B4A3D"/>
    <w:rsid w:val="004D613A"/>
    <w:rsid w:val="004E40C5"/>
    <w:rsid w:val="004F6329"/>
    <w:rsid w:val="00501673"/>
    <w:rsid w:val="005408EC"/>
    <w:rsid w:val="00554BDF"/>
    <w:rsid w:val="005C1843"/>
    <w:rsid w:val="00665ACE"/>
    <w:rsid w:val="006D6B5C"/>
    <w:rsid w:val="007B36AF"/>
    <w:rsid w:val="00823984"/>
    <w:rsid w:val="00836CFE"/>
    <w:rsid w:val="008452A2"/>
    <w:rsid w:val="00851D5E"/>
    <w:rsid w:val="008953CF"/>
    <w:rsid w:val="008B1201"/>
    <w:rsid w:val="008F0853"/>
    <w:rsid w:val="00931A7F"/>
    <w:rsid w:val="00942E3F"/>
    <w:rsid w:val="0097067E"/>
    <w:rsid w:val="00987620"/>
    <w:rsid w:val="009A2471"/>
    <w:rsid w:val="00A723E4"/>
    <w:rsid w:val="00A85209"/>
    <w:rsid w:val="00A9718E"/>
    <w:rsid w:val="00B24CB9"/>
    <w:rsid w:val="00B56FC6"/>
    <w:rsid w:val="00BB2001"/>
    <w:rsid w:val="00BF635C"/>
    <w:rsid w:val="00C362B0"/>
    <w:rsid w:val="00C37A17"/>
    <w:rsid w:val="00C47FC2"/>
    <w:rsid w:val="00CF5904"/>
    <w:rsid w:val="00E21155"/>
    <w:rsid w:val="00E61FB5"/>
    <w:rsid w:val="00E83294"/>
    <w:rsid w:val="00EB1550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7C9603"/>
  <w15:docId w15:val="{60993A72-ADC5-447B-8C2E-066BFD9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4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85A"/>
    <w:rPr>
      <w:color w:val="5D0F6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/homeaffairs.gov.au/criminal-justice/files/files/mordern-slavery-reporting-entiti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yingfor.vic.gov.au/supplier-code-condu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yingfor.vic.gov.au/local-jobs-first" TargetMode="External"/><Relationship Id="rId5" Type="http://schemas.openxmlformats.org/officeDocument/2006/relationships/hyperlink" Target="https://www.buyingfor.vic.gov.au/social-procurement-framework-and-guid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Purchasing Victoria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Lacchiana</dc:creator>
  <cp:lastModifiedBy>Loren Hulm</cp:lastModifiedBy>
  <cp:revision>4</cp:revision>
  <cp:lastPrinted>2017-12-21T05:30:00Z</cp:lastPrinted>
  <dcterms:created xsi:type="dcterms:W3CDTF">2021-12-01T04:48:00Z</dcterms:created>
  <dcterms:modified xsi:type="dcterms:W3CDTF">2021-12-01T05:20:00Z</dcterms:modified>
</cp:coreProperties>
</file>